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August 6, 2026</w:t>
      </w:r>
    </w:p>
    <w:p>
      <w:pPr>
        <w:pStyle w:val="TextBody"/>
        <w:bidi w:val="0"/>
        <w:spacing w:before="60" w:after="283"/>
        <w:jc w:val="center"/>
        <w:rPr/>
      </w:pPr>
      <w:r>
        <w:rPr/>
        <w:drawing>
          <wp:inline distT="0" distB="0" distL="0" distR="0">
            <wp:extent cx="209550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942975"/>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SUNRISE REALTY TRUST,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8908" w:type="dxa"/>
        <w:jc w:val="left"/>
        <w:tblInd w:w="0" w:type="dxa"/>
        <w:tblLayout w:type="fixed"/>
        <w:tblCellMar>
          <w:top w:w="28" w:type="dxa"/>
          <w:left w:w="28" w:type="dxa"/>
          <w:bottom w:w="28" w:type="dxa"/>
          <w:right w:w="28" w:type="dxa"/>
        </w:tblCellMar>
      </w:tblPr>
      <w:tblGrid>
        <w:gridCol w:w="1345"/>
        <w:gridCol w:w="1184"/>
        <w:gridCol w:w="1190"/>
        <w:gridCol w:w="762"/>
        <w:gridCol w:w="762"/>
        <w:gridCol w:w="770"/>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u w:val="single"/>
              </w:rPr>
            </w:pPr>
            <w:r>
              <w:rPr>
                <w:rFonts w:ascii="Times New Roman;serif" w:hAnsi="Times New Roman;serif"/>
                <w:b/>
                <w:color w:val="000000"/>
                <w:sz w:val="20"/>
                <w:u w:val="single"/>
              </w:rPr>
              <w:t>001-41971</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93-3168928</w:t>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525 Okeechobee Blvd., Suite 1650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West Palm Beach, FL, 33401</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including zip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561-530-3315</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637" w:type="dxa"/>
        <w:jc w:val="left"/>
        <w:tblInd w:w="0" w:type="dxa"/>
        <w:tblLayout w:type="fixed"/>
        <w:tblCellMar>
          <w:top w:w="28" w:type="dxa"/>
          <w:left w:w="28" w:type="dxa"/>
          <w:bottom w:w="28" w:type="dxa"/>
          <w:right w:w="28" w:type="dxa"/>
        </w:tblCellMar>
      </w:tblPr>
      <w:tblGrid>
        <w:gridCol w:w="1325"/>
        <w:gridCol w:w="1160"/>
        <w:gridCol w:w="1174"/>
        <w:gridCol w:w="109"/>
        <w:gridCol w:w="109"/>
        <w:gridCol w:w="109"/>
        <w:gridCol w:w="539"/>
        <w:gridCol w:w="539"/>
        <w:gridCol w:w="541"/>
        <w:gridCol w:w="109"/>
        <w:gridCol w:w="109"/>
        <w:gridCol w:w="109"/>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5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SUNS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6, 2026, Sunrise Realty Trust, Inc. issued a press release announcing its financial and operational results for the quarter ended June 30, 2026. A copy of the press release is furnished as Exhibit 99.1 hereto.</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contained in Item 2.02 of this Current Report,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720"/>
        <w:jc w:val="left"/>
        <w:rPr/>
      </w:pPr>
      <w:r>
        <w:rPr>
          <w:rFonts w:ascii="Times New Roman;serif" w:hAnsi="Times New Roman;serif"/>
          <w:b w:val="false"/>
          <w:color w:val="000000"/>
          <w:sz w:val="20"/>
          <w:shd w:fill="FFFFFF" w:val="clear"/>
        </w:rPr>
        <w:t>(d)</w:t>
      </w:r>
      <w:r>
        <w:rPr>
          <w:rFonts w:ascii="Times New Roman;serif" w:hAnsi="Times New Roman;serif"/>
          <w:b w:val="false"/>
          <w:color w:val="000000"/>
          <w:sz w:val="20"/>
        </w:rPr>
        <w:t>Exhibits</w:t>
      </w:r>
    </w:p>
    <w:tbl>
      <w:tblPr>
        <w:tblW w:w="712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670"/>
        <w:gridCol w:w="1670"/>
        <w:gridCol w:w="237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pPr>
            <w:hyperlink w:anchor="sunsearningsreleaseq22026e.htm">
              <w:r>
                <w:rPr>
                  <w:rStyle w:val="InternetLink"/>
                  <w:rFonts w:ascii="Times New Roman;serif" w:hAnsi="Times New Roman;serif"/>
                  <w:b w:val="false"/>
                  <w:color w:val="0000FF"/>
                  <w:sz w:val="20"/>
                  <w:u w:val="single"/>
                </w:rPr>
                <w:t>99.1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issued by Sunrise Realty Trust, Inc. on August 6, 2026.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6395" w:type="dxa"/>
        <w:jc w:val="left"/>
        <w:tblInd w:w="0" w:type="dxa"/>
        <w:tblLayout w:type="fixed"/>
        <w:tblCellMar>
          <w:top w:w="28" w:type="dxa"/>
          <w:left w:w="28" w:type="dxa"/>
          <w:bottom w:w="28" w:type="dxa"/>
          <w:right w:w="28" w:type="dxa"/>
        </w:tblCellMar>
      </w:tblPr>
      <w:tblGrid>
        <w:gridCol w:w="667"/>
        <w:gridCol w:w="587"/>
        <w:gridCol w:w="590"/>
        <w:gridCol w:w="467"/>
        <w:gridCol w:w="467"/>
        <w:gridCol w:w="467"/>
        <w:gridCol w:w="922"/>
        <w:gridCol w:w="922"/>
        <w:gridCol w:w="130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6"/>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SUNRISE REALTY TRUST,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Brandon Hetzel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Brandon Hetzel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3685"/>
                <wp:effectExtent l="0" t="0" r="0" b="0"/>
                <wp:wrapNone/>
                <wp:docPr id="4"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drawing>
          <wp:inline distT="0" distB="0" distL="0" distR="0">
            <wp:extent cx="1581150" cy="8953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581150" cy="895350"/>
                    </a:xfrm>
                    <a:prstGeom prst="rect">
                      <a:avLst/>
                    </a:prstGeom>
                  </pic:spPr>
                </pic:pic>
              </a:graphicData>
            </a:graphic>
          </wp:inline>
        </w:drawing>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Sunrise Realty Trust, Inc. Announces Financial Results for the Second Quarter 2026</w:t>
      </w:r>
    </w:p>
    <w:p>
      <w:pPr>
        <w:pStyle w:val="TextBody"/>
        <w:bidi w:val="0"/>
        <w:spacing w:lineRule="auto" w:line="288" w:before="200" w:after="283"/>
        <w:jc w:val="center"/>
        <w:rPr/>
      </w:pPr>
      <w:r>
        <w:rPr>
          <w:rFonts w:ascii="Arial;sans-serif" w:hAnsi="Arial;sans-serif"/>
          <w:b w:val="false"/>
          <w:i/>
          <w:color w:val="000000"/>
          <w:sz w:val="20"/>
          <w:shd w:fill="FFFFFF" w:val="clear"/>
        </w:rPr>
        <w:t xml:space="preserve">Second quarter 2026 GAAP net income of </w:t>
      </w:r>
      <w:r>
        <w:rPr>
          <w:rFonts w:ascii="Arial;sans-serif" w:hAnsi="Arial;sans-serif"/>
          <w:b w:val="false"/>
          <w:i/>
          <w:color w:val="000000"/>
          <w:sz w:val="20"/>
        </w:rPr>
        <w:t>$3.1 million</w:t>
      </w:r>
      <w:r>
        <w:rPr>
          <w:color w:val="000000"/>
          <w:shd w:fill="FFFFFF" w:val="clear"/>
        </w:rPr>
        <w:t xml:space="preserve"> </w:t>
      </w:r>
      <w:r>
        <w:rPr>
          <w:rFonts w:ascii="Arial;sans-serif" w:hAnsi="Arial;sans-serif"/>
          <w:b w:val="false"/>
          <w:i/>
          <w:color w:val="000000"/>
          <w:sz w:val="20"/>
          <w:shd w:fill="FFFFFF" w:val="clear"/>
        </w:rPr>
        <w:t xml:space="preserve">or </w:t>
      </w:r>
      <w:r>
        <w:rPr>
          <w:rFonts w:ascii="Arial;sans-serif" w:hAnsi="Arial;sans-serif"/>
          <w:b w:val="false"/>
          <w:i/>
          <w:color w:val="000000"/>
          <w:sz w:val="20"/>
        </w:rPr>
        <w:t>$0.23</w:t>
      </w:r>
      <w:r>
        <w:rPr>
          <w:color w:val="000000"/>
          <w:shd w:fill="FFFFFF" w:val="clear"/>
        </w:rPr>
        <w:t xml:space="preserve"> </w:t>
      </w:r>
      <w:r>
        <w:rPr>
          <w:rFonts w:ascii="Arial;sans-serif" w:hAnsi="Arial;sans-serif"/>
          <w:b w:val="false"/>
          <w:i/>
          <w:color w:val="000000"/>
          <w:sz w:val="20"/>
          <w:shd w:fill="FFFFFF" w:val="clear"/>
        </w:rPr>
        <w:t>per basic weighted average common share and Distributable Earnings</w:t>
      </w:r>
      <w:r>
        <w:rPr>
          <w:rFonts w:ascii="Arial;sans-serif" w:hAnsi="Arial;sans-serif"/>
          <w:b w:val="false"/>
          <w:i/>
          <w:color w:val="000000"/>
          <w:sz w:val="13"/>
        </w:rPr>
        <w:t>(</w:t>
      </w:r>
      <w:r>
        <w:rPr>
          <w:rFonts w:ascii="Arial;sans-serif" w:hAnsi="Arial;sans-serif"/>
          <w:b w:val="false"/>
          <w:i/>
          <w:color w:val="000000"/>
          <w:sz w:val="13"/>
          <w:shd w:fill="FFFFFF" w:val="clear"/>
        </w:rPr>
        <w:t>1</w:t>
      </w:r>
      <w:r>
        <w:rPr>
          <w:rFonts w:ascii="Arial;sans-serif" w:hAnsi="Arial;sans-serif"/>
          <w:b w:val="false"/>
          <w:i/>
          <w:color w:val="000000"/>
          <w:sz w:val="13"/>
        </w:rPr>
        <w:t>)</w:t>
      </w:r>
      <w:r>
        <w:rPr>
          <w:color w:val="000000"/>
          <w:shd w:fill="FFFFFF" w:val="clear"/>
        </w:rPr>
        <w:t xml:space="preserve"> </w:t>
      </w:r>
      <w:r>
        <w:rPr>
          <w:rFonts w:ascii="Arial;sans-serif" w:hAnsi="Arial;sans-serif"/>
          <w:b w:val="false"/>
          <w:i/>
          <w:color w:val="000000"/>
          <w:sz w:val="20"/>
          <w:shd w:fill="FFFFFF" w:val="clear"/>
        </w:rPr>
        <w:t xml:space="preserve">of </w:t>
      </w:r>
      <w:r>
        <w:rPr>
          <w:rFonts w:ascii="Arial;sans-serif" w:hAnsi="Arial;sans-serif"/>
          <w:b w:val="false"/>
          <w:i/>
          <w:color w:val="000000"/>
          <w:sz w:val="20"/>
        </w:rPr>
        <w:t>$3.9 million</w:t>
      </w:r>
      <w:r>
        <w:rPr>
          <w:color w:val="000000"/>
          <w:shd w:fill="FFFFFF" w:val="clear"/>
        </w:rPr>
        <w:t xml:space="preserve"> </w:t>
      </w:r>
      <w:r>
        <w:rPr>
          <w:rFonts w:ascii="Arial;sans-serif" w:hAnsi="Arial;sans-serif"/>
          <w:b w:val="false"/>
          <w:i/>
          <w:color w:val="000000"/>
          <w:sz w:val="20"/>
          <w:shd w:fill="FFFFFF" w:val="clear"/>
        </w:rPr>
        <w:t xml:space="preserve">or </w:t>
      </w:r>
      <w:r>
        <w:rPr>
          <w:rFonts w:ascii="Arial;sans-serif" w:hAnsi="Arial;sans-serif"/>
          <w:b w:val="false"/>
          <w:i/>
          <w:color w:val="000000"/>
          <w:sz w:val="20"/>
        </w:rPr>
        <w:t>$0.29</w:t>
      </w:r>
      <w:r>
        <w:rPr>
          <w:color w:val="000000"/>
          <w:shd w:fill="FFFFFF" w:val="clear"/>
        </w:rPr>
        <w:t xml:space="preserve"> </w:t>
      </w:r>
      <w:r>
        <w:rPr>
          <w:rFonts w:ascii="Arial;sans-serif" w:hAnsi="Arial;sans-serif"/>
          <w:b w:val="false"/>
          <w:i/>
          <w:color w:val="000000"/>
          <w:sz w:val="20"/>
          <w:shd w:fill="FFFFFF" w:val="clear"/>
        </w:rPr>
        <w:t>per basic weighted average common share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WEST PALM BEACH, FL, August 6, 2026 – Sunrise Realty Trust, Inc. (Nasdaq: SUNS) (“SUNS” or the “Company”), a lender on the Tannenbaum Capital Group (“TCG”) Real Estate platform, today announced its results for the quarter ended June 30, 2026.</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For the second quarter of 2026, SUNS reported generally accepted accounting principles (“GAAP”) net income of $3.1 million, or $0.23 per basic weighted average common share, and Distributable Earnings of $3.9 million, or $0.29 per basic weighted average common share.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Brian Sedrish, Chief Executive Officer of SUNS, said, “Our second quarter 2026 results reflect a resilient portfolio: Distributable Earnings exceeded dividends through the first six months of the year, and all our loans remain current. The full repayment of our investment in Panther National shortly after quarter end reinforces our ability to originate, structure, and exit transitional investments. With elevated rates continuing to constrain senior debt capacity across commercial real estate, we expect strong demand for flexible, structured capital. The proceeds from that repayment, together with our modest balance-sheet leverage, position us to stay selective and deploy only into opportunities that meet our return and structural requirements.”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Common Stock Dividend</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July 15, 2026, the Company paid a cash dividend of $0.30 per common share for the second quarter of 2026. SUNS distributed $4.1 million in dividends, or $0.30 per common share, compared to Distributable Earnings of $0.29 per basic weighted average common share for such period. For the first six months of 2026, Distributable Earnings of $0.65 per basic weighted average share exceeded the $0.60 per share of dividends declared over the same period.</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Additional Information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SUNS issued a presentation, titled “Second Quarter 2026 Investor Presentation,” which can be viewed at www.sunriserealtytrust.com under the Investor Relations section. The Company also filed its Quarterly Report on Form 10-Q for the quarter ended June 30, 2026, with the Securities and Exchange Commission (the “SEC”) on August 6, 2026.</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SUNS routinely posts important information for investors on its website, www.sunriserealtytrust.com. The Company intends to use this webpage as a means of disclosing material information, for complying with our disclosure obligations under Regulation FD and to post and update investor presentations and similar materials on a regular basis. SUNS encourages investors, analysts, the media and others interested in SUNS to monitor the Investor Relations section of its website, in addition to following its press releases, SEC filings, public conference calls, presentations, webcasts and other information posted from time to time on the website. To sign-up for email-notifications, please visit the “Email Alerts” section of the website under the “IR Resources” section.</w:t>
      </w:r>
    </w:p>
    <w:p>
      <w:pPr>
        <w:pStyle w:val="TextBody"/>
        <w:bidi w:val="0"/>
        <w:spacing w:lineRule="auto" w:line="268"/>
        <w:jc w:val="left"/>
        <w:rPr/>
      </w:pPr>
      <w:r>
        <w:rPr>
          <w:rFonts w:ascii="Times New Roman;serif" w:hAnsi="Times New Roman;serif"/>
          <w:b w:val="false"/>
          <w:color w:val="000000"/>
          <w:sz w:val="16"/>
        </w:rPr>
        <w:t>1</w:t>
      </w:r>
      <w:r>
        <w:rPr>
          <w:color w:val="000000"/>
        </w:rPr>
        <w:t xml:space="preserve"> </w:t>
      </w:r>
      <w:r>
        <w:rPr>
          <w:rFonts w:ascii="Arial;sans-serif" w:hAnsi="Arial;sans-serif"/>
          <w:b w:val="false"/>
          <w:color w:val="000000"/>
          <w:sz w:val="18"/>
        </w:rPr>
        <w:t>Distributable Earnings is a non-GAAP financial measure. See the “Non-GAAP Metrics” section of this release for a reconciliation of GAAP Net Income to Distributable Earnings.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Conference Call &amp; Discussion of Financial Results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SUNS will host a conference call at 10:00 a.m. (Eastern Time) on Thursday, August 6, 2026, to provide an update on the business. All interested parties are welcome to participate. The call will be available through a live audio webcast at the Investor Relations section of SUNS’s website found here: SUNS -- Investor Relations. To participate via telephone, please register in advance at this link. Upon registration, all telephone participants will receive a confirmation email detailing how to join the conference call, including the dial-in number along with a unique passcode and registrant ID that can be used to access the call. The complete webcast will be archived for 90 days on the Investor Relations section of the SUNS website.</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About Sunrise Realty Trust, Inc.</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Sunrise Realty Trust, Inc. (Nasdaq: SUNS) (“SUNS” or the “Company”) is an institutional commercial real estate (“CRE”) lender providing flexible financing solutions to sponsors of CRE projects located primarily in the Southern United States. It focuses on transitional CRE business plans with the potential for near-term value creation, collateralized by top-tier assets predominantly located in established and rapidly expanding Southern markets. For additional information regarding the Company, please visit www.sunriserealtytrust.com.</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About TCG Real Estate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TCG Real Estate refers to a group of affiliated commercial real estate (“CRE”) focused debt funds, including a Nasdaq-listed mortgage real estate investment trust (“REIT”), Sunrise Realty Trust, Inc. (Nasdaq: SUNS), and a private mortgage REIT, Southern Realty Trust Inc. The funds provide flexible financing on transitional CRE properties that present opportunities for near-term value creation, with a focus on top-tier CRE assets located primarily within markets in the Southern U.S. benefiting from economic tailwinds with growth potential. For additional information regarding TCG Real Estate, please visit www.theTCG.com.</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Non-GAAP Metrics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 addition to using certain financial metrics prepared in accordance with GAAP to evaluate our performance, we also use Distributable Earnings to evaluate our performance excluding the effects of certain transactions and GAAP adjustments we believe are not necessarily indicative of our current loan activity and operations. Distributable Earnings is a measure that is not prepared in accordance with GAAP. Distributable Earnings and the other capitalized terms not defined in this section have the meanings ascribed to such terms in our most recently filed quarterly report. We use this non-GAAP financial measure both to explain our results to shareholders and the investment community and in the internal evaluation and management of our businesses. Our management believes that this non-GAAP financial measure and the information they provide are useful to investors since these measures permit investors and shareholders to assess the overall performance of our business using the same tools that our management uses to evaluate our past performance and prospects for future performance.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determination of Distributable Earnings is substantially similar to the determination of Core Earnings under our Management Agreement, provided that Core Earnings is a component of the calculation of any Incentive Compensation earned under the Management Agreement for the applicable time period, and thus Core Earnings is calculated without giving effect to Incentive Compensation expense, while the calculation of Distributable Earnings account for any Incentive Compensation earned for such time period. We define Distributable Earnings as, for a specified period, the net income (loss) computed in accordance with GAAP, excluding (i) stock-based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 investments with a deferred interest feature (such as original issue discount, debt instruments with PIK interest and zero coupon securities), accrued income that we have not yet received in cash, (iv) provision for (reversal of) current expected credit losses (“CECL”), (v) taxable REIT (as defined below) subsidiary (“TRS”) (income) loss, net of any dividends received from TRS and (vi) one-time events pursuant to changes in GAAP and certain non-cash charges, in each case after discussions between our Manager and our independent directors and after approval by a majority of such independent directors.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We believe providing Distributable Earnings on a supplemental basis to our net income as determined in accordance with GAAP is helpful to shareholders in assessing the overall performance of our business. As a real estate investment trust (“REIT”), we are required to distribute at least 90% of our annual REIT taxable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income, subject to certain adjustments, and to pay tax at regular corporate rates to the extent that we annually distribute less than 100% of such taxable income. Given these requirements and our belief that dividends are generally one of the principal reasons that shareholders invest in our common stock, we generally intend to attempt to pay dividends to our shareholders in an amount at least equal to such REIT taxable income, if and to the extent authorized by our Board of Directors. Distributable Earnings is one of many factors considered by our Board of Directors in authorizing dividends and, while not a direct measure of net taxable income, over time, the measure can be considered a useful indicator of our dividends.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Distributable Earnings is a non-GAAP financial measure and should not be considered as a substitute for GAAP net income. We caution readers that our methodology for calculating Distributable Earnings may differ from the methodologies employed by other REITs to calculate the same or similar supplemental performance measures, and as a result, our reported Distributable Earnings may not be comparable to similar measures presented by other REITs.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The following table provides a reconciliation of GAAP Net income to Distributable Earnings:</w:t>
      </w:r>
    </w:p>
    <w:tbl>
      <w:tblPr>
        <w:tblW w:w="10205" w:type="dxa"/>
        <w:jc w:val="left"/>
        <w:tblInd w:w="0" w:type="dxa"/>
        <w:tblLayout w:type="fixed"/>
        <w:tblCellMar>
          <w:top w:w="28" w:type="dxa"/>
          <w:left w:w="28" w:type="dxa"/>
          <w:bottom w:w="28" w:type="dxa"/>
          <w:right w:w="28" w:type="dxa"/>
        </w:tblCellMar>
      </w:tblPr>
      <w:tblGrid>
        <w:gridCol w:w="1215"/>
        <w:gridCol w:w="997"/>
        <w:gridCol w:w="1006"/>
        <w:gridCol w:w="109"/>
        <w:gridCol w:w="109"/>
        <w:gridCol w:w="119"/>
        <w:gridCol w:w="119"/>
        <w:gridCol w:w="232"/>
        <w:gridCol w:w="1125"/>
        <w:gridCol w:w="119"/>
        <w:gridCol w:w="109"/>
        <w:gridCol w:w="109"/>
        <w:gridCol w:w="109"/>
        <w:gridCol w:w="211"/>
        <w:gridCol w:w="1021"/>
        <w:gridCol w:w="109"/>
        <w:gridCol w:w="109"/>
        <w:gridCol w:w="109"/>
        <w:gridCol w:w="109"/>
        <w:gridCol w:w="211"/>
        <w:gridCol w:w="1021"/>
        <w:gridCol w:w="109"/>
        <w:gridCol w:w="109"/>
        <w:gridCol w:w="109"/>
        <w:gridCol w:w="109"/>
        <w:gridCol w:w="211"/>
        <w:gridCol w:w="1021"/>
        <w:gridCol w:w="160"/>
      </w:tblGrid>
      <w:tr>
        <w:trPr/>
        <w:tc>
          <w:tcPr>
            <w:tcW w:w="1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1719" w:type="dxa"/>
            <w:gridSpan w:val="6"/>
            <w:tcBorders/>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47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47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3,076,025</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3,358,314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7,329,375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6,457,751</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297,484 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(gains) losses, or other non-cash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current expected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557,248 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586,141 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TRS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One-time events pursuant to changes in GAAP and certain non-cash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Distributable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5"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3,930,757</w:t>
            </w:r>
            <w:r>
              <w:rPr>
                <w:color w:val="000000"/>
              </w:rPr>
              <w:t> </w:t>
            </w:r>
          </w:p>
        </w:tc>
        <w:tc>
          <w:tcPr>
            <w:tcW w:w="11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4,085,873</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8,614,352</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7,546,579</w:t>
            </w:r>
            <w:r>
              <w:rPr>
                <w:color w:val="000000"/>
              </w:rPr>
              <w:t> </w:t>
            </w:r>
          </w:p>
        </w:tc>
        <w:tc>
          <w:tcPr>
            <w:tcW w:w="16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 weighted average shares of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5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13,329,968 </w:t>
            </w:r>
          </w:p>
        </w:tc>
        <w:tc>
          <w:tcPr>
            <w:tcW w:w="11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13,235,823 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13,324,626 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12,227,520 </w:t>
            </w:r>
          </w:p>
        </w:tc>
        <w:tc>
          <w:tcPr>
            <w:tcW w:w="16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Distributable earnings per basic weighted average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top w:val="single" w:sz="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5" w:type="dxa"/>
            <w:tcBorders>
              <w:top w:val="single" w:sz="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0.29</w:t>
            </w:r>
            <w:r>
              <w:rPr>
                <w:color w:val="000000"/>
              </w:rPr>
              <w:t> </w:t>
            </w:r>
          </w:p>
        </w:tc>
        <w:tc>
          <w:tcPr>
            <w:tcW w:w="119" w:type="dxa"/>
            <w:tcBorders>
              <w:top w:val="single" w:sz="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0.31</w:t>
            </w:r>
            <w:r>
              <w:rPr>
                <w:color w:val="000000"/>
              </w:rPr>
              <w:t> </w:t>
            </w:r>
          </w:p>
        </w:tc>
        <w:tc>
          <w:tcPr>
            <w:tcW w:w="109" w:type="dxa"/>
            <w:tcBorders>
              <w:top w:val="single" w:sz="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0.65</w:t>
            </w:r>
            <w:r>
              <w:rPr>
                <w:color w:val="000000"/>
              </w:rPr>
              <w:t> </w:t>
            </w:r>
          </w:p>
        </w:tc>
        <w:tc>
          <w:tcPr>
            <w:tcW w:w="109" w:type="dxa"/>
            <w:tcBorders>
              <w:top w:val="single" w:sz="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0.62</w:t>
            </w:r>
            <w:r>
              <w:rPr>
                <w:color w:val="000000"/>
              </w:rPr>
              <w:t> </w:t>
            </w:r>
          </w:p>
        </w:tc>
        <w:tc>
          <w:tcPr>
            <w:tcW w:w="160" w:type="dxa"/>
            <w:tcBorders>
              <w:top w:val="single" w:sz="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Forward-Looking Statements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This release contains forward-looking statements within the meaning of the Private Securities Litigation Reform Act of 1995 that reflect our current views and projections with respect to, among other things, future events and financial performance. Words such as “believes,” “expects,” “will,” “intends,” “plans,” “guidance,” “estimates,” “projects,” “may,” “anticipates,” and “future” or similar expressions are intended to identify forward-looking statements. These forward-looking statements, including statements about our future growth, strategies for such growth, and our estimates of future distributable earnings, are subject to the inherent uncertainties in predicting future results and conditions and are not guarantees of future performance, conditions or results. Certain factors, including the ability of our manager to locate suitable loan opportunities for us, monitor and actively manage our loan portfolio and implement our investment strategy; the demand for commercial real estate investment; management’s current estimate of expected credit losses and current expected credit loss reserve and other factors could cause actual results and performance to differ materially from those projected in these forward-looking statements. More information on these risks and other potential factors that could affect our business and financial results is included in SUNS’s filings with the SEC, including in the “Risk Factors” and “Management’s Discussion and Analysis of Financial Condition and Results of Operations” sections of SUNS’s Annual Report on Form 10-K filed on March 12, 2026, and subsequently filed Quarterly Reports on Form 10-Q. New risks and uncertainties arise over time, and it is not possible to predict those events or how they may affect SUNS. We do not undertake any obligation to publicly update or revise any forward-looking statements, whether as a result of new information, future events or otherwise, except as required by law.</w:t>
      </w:r>
    </w:p>
    <w:p>
      <w:pPr>
        <w:pStyle w:val="TextBody"/>
        <w:bidi w:val="0"/>
        <w:spacing w:before="20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Investor Relations Contact</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Robyn Tannenbaum</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(561) 510-2293</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ir@theTCG.com</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Doug Allen</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Dukas Linden Public Relations</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(646) 722-6530</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TCG@DLPR.com</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2345</Words>
  <Characters>13336</Characters>
  <CharactersWithSpaces>15577</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