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ind w:left="3820" w:right="1680" w:hanging="3794"/>
        <w:spacing w:after="0" w:line="412" w:lineRule="auto"/>
        <w:tabs>
          <w:tab w:leader="none" w:pos="42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59" w:lineRule="exact"/>
        <w:rPr>
          <w:sz w:val="24"/>
          <w:szCs w:val="24"/>
          <w:color w:val="auto"/>
        </w:rPr>
      </w:pPr>
    </w:p>
    <w:p>
      <w:pPr>
        <w:ind w:left="3420" w:right="1660" w:hanging="3394"/>
        <w:spacing w:after="0" w:line="412" w:lineRule="auto"/>
        <w:tabs>
          <w:tab w:leader="none" w:pos="4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4"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001-41971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53975</wp:posOffset>
            </wp:positionV>
            <wp:extent cx="2057400" cy="925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SUNRISE REALTY TRUST,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90" w:right="339" w:bottom="488" w:gutter="0" w:footer="0" w:header="0"/>
        </w:sectPr>
      </w:pPr>
    </w:p>
    <w:p>
      <w:pPr>
        <w:spacing w:after="0" w:line="39"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93-3168928</w:t>
      </w:r>
    </w:p>
    <w:p>
      <w:pPr>
        <w:spacing w:after="0" w:line="65" w:lineRule="exact"/>
        <w:rPr>
          <w:sz w:val="24"/>
          <w:szCs w:val="24"/>
          <w:color w:val="auto"/>
        </w:rPr>
      </w:pPr>
    </w:p>
    <w:p>
      <w:pPr>
        <w:sectPr>
          <w:pgSz w:w="11900" w:h="16838" w:orient="portrait"/>
          <w:cols w:equalWidth="0" w:num="2">
            <w:col w:w="7300" w:space="720"/>
            <w:col w:w="3220"/>
          </w:cols>
          <w:pgMar w:left="320" w:top="290" w:right="339" w:bottom="488"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260" w:space="720"/>
            <w:col w:w="4260"/>
          </w:cols>
          <w:pgMar w:left="320" w:top="290" w:right="339" w:bottom="488"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525 Okeechobee Blvd.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Suite 1650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West Palm Beach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FL 33401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(561) 530-3315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90" w:right="339" w:bottom="488" w:gutter="0" w:footer="0" w:header="0"/>
          <w:type w:val="continuous"/>
        </w:sectPr>
      </w:pPr>
    </w:p>
    <w:p>
      <w:pPr>
        <w:spacing w:after="0" w:line="23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45" w:lineRule="exact"/>
        <w:rPr>
          <w:sz w:val="24"/>
          <w:szCs w:val="24"/>
          <w:color w:val="auto"/>
        </w:rPr>
      </w:pPr>
    </w:p>
    <w:p>
      <w:pPr>
        <w:sectPr>
          <w:pgSz w:w="11900" w:h="16838" w:orient="portrait"/>
          <w:cols w:equalWidth="0" w:num="3">
            <w:col w:w="4220" w:space="720"/>
            <w:col w:w="1800" w:space="720"/>
            <w:col w:w="3780"/>
          </w:cols>
          <w:pgMar w:left="320" w:top="290" w:right="339" w:bottom="488" w:gutter="0" w:footer="0" w:header="0"/>
          <w:type w:val="continuous"/>
        </w:sectPr>
      </w:pPr>
    </w:p>
    <w:p>
      <w:pPr>
        <w:spacing w:after="0" w:line="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SUNS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60" w:space="720"/>
            <w:col w:w="1740" w:space="720"/>
            <w:col w:w="3400"/>
          </w:cols>
          <w:pgMar w:left="320" w:top="290" w:right="339" w:bottom="488" w:gutter="0" w:footer="0" w:header="0"/>
          <w:type w:val="continuous"/>
        </w:sectPr>
      </w:pP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0" w:right="339" w:bottom="488" w:gutter="0" w:footer="0" w:header="0"/>
          <w:type w:val="continuous"/>
        </w:sectPr>
      </w:pPr>
    </w:p>
    <w:p>
      <w:pPr>
        <w:spacing w:after="0" w:line="1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4"/>
          <w:szCs w:val="24"/>
          <w:color w:val="auto"/>
        </w:rPr>
      </w:pPr>
    </w:p>
    <w:p>
      <w:pPr>
        <w:sectPr>
          <w:pgSz w:w="11900" w:h="16838" w:orient="portrait"/>
          <w:cols w:equalWidth="0" w:num="5">
            <w:col w:w="1640" w:space="600"/>
            <w:col w:w="1520" w:space="720"/>
            <w:col w:w="1540" w:space="720"/>
            <w:col w:w="1540" w:space="720"/>
            <w:col w:w="2240"/>
          </w:cols>
          <w:pgMar w:left="320" w:top="290" w:right="339" w:bottom="488" w:gutter="0" w:footer="0" w:header="0"/>
          <w:type w:val="continuous"/>
        </w:sectPr>
      </w:pPr>
    </w:p>
    <w:p>
      <w:pPr>
        <w:spacing w:after="0" w:line="7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290" w:right="339" w:bottom="48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322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 at May 8, 2026</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77"/>
        </w:trPr>
        <w:tc>
          <w:tcPr>
            <w:tcW w:w="58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13,518,205</w:t>
            </w:r>
          </w:p>
        </w:tc>
        <w:tc>
          <w:tcPr>
            <w:tcW w:w="1740" w:type="dxa"/>
            <w:vAlign w:val="bottom"/>
          </w:tcPr>
          <w:p>
            <w:pPr>
              <w:spacing w:after="0"/>
              <w:rPr>
                <w:sz w:val="24"/>
                <w:szCs w:val="24"/>
                <w:color w:val="auto"/>
              </w:rPr>
            </w:pPr>
          </w:p>
        </w:tc>
      </w:tr>
      <w:tr>
        <w:trPr>
          <w:trHeight w:val="162"/>
        </w:trPr>
        <w:tc>
          <w:tcPr>
            <w:tcW w:w="2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999"/>
        </w:trPr>
        <w:tc>
          <w:tcPr>
            <w:tcW w:w="2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80" w:type="dxa"/>
            <w:vAlign w:val="bottom"/>
            <w:tcBorders>
              <w:top w:val="single" w:sz="8" w:color="auto"/>
              <w:left w:val="single" w:sz="8" w:color="auto"/>
              <w:righ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Part I.</w:t>
            </w:r>
          </w:p>
        </w:tc>
        <w:tc>
          <w:tcPr>
            <w:tcW w:w="9060" w:type="dxa"/>
            <w:vAlign w:val="bottom"/>
            <w:tcBorders>
              <w:top w:val="single" w:sz="8" w:color="auto"/>
              <w:right w:val="single" w:sz="8" w:color="auto"/>
            </w:tcBorders>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820" w:type="dxa"/>
            <w:vAlign w:val="bottom"/>
            <w:tcBorders>
              <w:top w:val="single" w:sz="8" w:color="auto"/>
              <w:right w:val="single" w:sz="8" w:color="auto"/>
            </w:tcBorders>
          </w:tcPr>
          <w:p>
            <w:pPr>
              <w:spacing w:after="0"/>
              <w:rPr>
                <w:sz w:val="17"/>
                <w:szCs w:val="17"/>
                <w:color w:val="auto"/>
              </w:rPr>
            </w:pP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Financial Statements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183"/>
        </w:trPr>
        <w:tc>
          <w:tcPr>
            <w:tcW w:w="1380" w:type="dxa"/>
            <w:vAlign w:val="bottom"/>
            <w:tcBorders>
              <w:left w:val="single" w:sz="8" w:color="auto"/>
              <w:right w:val="single" w:sz="8" w:color="auto"/>
            </w:tcBorders>
          </w:tcPr>
          <w:p>
            <w:pPr>
              <w:spacing w:after="0"/>
              <w:rPr>
                <w:sz w:val="15"/>
                <w:szCs w:val="15"/>
                <w:color w:val="auto"/>
              </w:rPr>
            </w:pP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Consolidated Balance Sheets as of March 31, 2026 (unaudited) and December 31, 2025</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 (unaudited)</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2</w:t>
            </w:r>
          </w:p>
        </w:tc>
      </w:tr>
      <w:tr>
        <w:trPr>
          <w:trHeight w:val="182"/>
        </w:trPr>
        <w:tc>
          <w:tcPr>
            <w:tcW w:w="1380" w:type="dxa"/>
            <w:vAlign w:val="bottom"/>
            <w:tcBorders>
              <w:left w:val="single" w:sz="8" w:color="auto"/>
              <w:right w:val="single" w:sz="8" w:color="auto"/>
            </w:tcBorders>
          </w:tcPr>
          <w:p>
            <w:pPr>
              <w:spacing w:after="0"/>
              <w:rPr>
                <w:sz w:val="15"/>
                <w:szCs w:val="15"/>
                <w:color w:val="auto"/>
              </w:rPr>
            </w:pP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Shareholders' Equity for the three months ended March 31, 2026 and 2025 (unaudited)</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 (unaudited)</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4</w:t>
            </w:r>
          </w:p>
        </w:tc>
      </w:tr>
      <w:tr>
        <w:trPr>
          <w:trHeight w:val="183"/>
        </w:trPr>
        <w:tc>
          <w:tcPr>
            <w:tcW w:w="1380" w:type="dxa"/>
            <w:vAlign w:val="bottom"/>
            <w:tcBorders>
              <w:left w:val="single" w:sz="8" w:color="auto"/>
              <w:right w:val="single" w:sz="8" w:color="auto"/>
            </w:tcBorders>
          </w:tcPr>
          <w:p>
            <w:pPr>
              <w:spacing w:after="0"/>
              <w:rPr>
                <w:sz w:val="15"/>
                <w:szCs w:val="15"/>
                <w:color w:val="auto"/>
              </w:rPr>
            </w:pP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Consolidated Notes to the Financial Statements (unaudited)</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22</w:t>
            </w:r>
          </w:p>
        </w:tc>
      </w:tr>
      <w:tr>
        <w:trPr>
          <w:trHeight w:val="182"/>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182"/>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tcBorders>
              <w:bottom w:val="single" w:sz="8" w:color="auto"/>
              <w:right w:val="single" w:sz="8" w:color="auto"/>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36</w:t>
            </w:r>
          </w:p>
        </w:tc>
      </w:tr>
      <w:tr>
        <w:trPr>
          <w:trHeight w:val="183"/>
        </w:trPr>
        <w:tc>
          <w:tcPr>
            <w:tcW w:w="1380" w:type="dxa"/>
            <w:vAlign w:val="bottom"/>
            <w:tcBorders>
              <w:left w:val="single" w:sz="8" w:color="auto"/>
              <w:right w:val="single" w:sz="8" w:color="auto"/>
            </w:tcBorders>
          </w:tcPr>
          <w:p>
            <w:pPr>
              <w:spacing w:after="0"/>
              <w:rPr>
                <w:sz w:val="15"/>
                <w:szCs w:val="15"/>
                <w:color w:val="auto"/>
              </w:rPr>
            </w:pPr>
          </w:p>
        </w:tc>
        <w:tc>
          <w:tcPr>
            <w:tcW w:w="9060" w:type="dxa"/>
            <w:vAlign w:val="bottom"/>
            <w:tcBorders>
              <w:right w:val="single" w:sz="8" w:color="auto"/>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1000"/>
        </w:trPr>
        <w:tc>
          <w:tcPr>
            <w:tcW w:w="1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19"/>
                <w:szCs w:val="19"/>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8"/>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296,841,030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302,674,743</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(1,891,170)</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carrying value, net of current expected credit loss reserve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296,518,244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300,783,573</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6,445,328</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2,571,173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2,264,133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real estate joint venture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735,230</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330,030,952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310,228,264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1,080,911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730,644</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4,026,296</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management and incentive fees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692,716</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direct administrative expenses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282,296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355,865</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 payable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102,250,000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 of credit payable to affiliate</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19,750,000</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147,501,156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128,265,883</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10,000 shares authorized at March 31, 2026 and</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0 shares issued and outstanding at March 31, 2026 and December 31,</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respectively</w:t>
            </w:r>
          </w:p>
        </w:tc>
        <w:tc>
          <w:tcPr>
            <w:tcW w:w="2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 50,000,000 shares authorized at March 31, 2026 and</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13,519,655 and 13,420,986 shares issued and outstanding at March 31,</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134,210</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187,114,464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186,745,489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 earnings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(4,917,318)</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182,529,796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181,962,381</w:t>
            </w:r>
          </w:p>
        </w:tc>
        <w:tc>
          <w:tcPr>
            <w:tcW w:w="0" w:type="dxa"/>
            <w:vAlign w:val="bottom"/>
          </w:tcPr>
          <w:p>
            <w:pPr>
              <w:spacing w:after="0"/>
              <w:rPr>
                <w:sz w:val="1"/>
                <w:szCs w:val="1"/>
                <w:color w:val="auto"/>
              </w:rPr>
            </w:pPr>
          </w:p>
        </w:tc>
      </w:tr>
      <w:tr>
        <w:trPr>
          <w:trHeight w:val="129"/>
        </w:trPr>
        <w:tc>
          <w:tcPr>
            <w:tcW w:w="7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330,030,952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310,228,264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10,272,686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4,958,523</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(2,967,637)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(336,159)</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7,305,049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4,622,364</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1,635,136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753,126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243,621</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408,532</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2,991,416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1,405,279</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4,253,350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3,099,437</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4,253,350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3,099,437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56"/>
        </w:trPr>
        <w:tc>
          <w:tcPr>
            <w:tcW w:w="7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13,319,225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11,208,015</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13,325,211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11,221,016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70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 Paid-</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3"/>
                <w:szCs w:val="13"/>
                <w:color w:val="auto"/>
              </w:rPr>
            </w:pPr>
          </w:p>
        </w:tc>
        <w:tc>
          <w:tcPr>
            <w:tcW w:w="270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13"/>
                <w:szCs w:val="13"/>
                <w:color w:val="auto"/>
              </w:rPr>
            </w:pPr>
          </w:p>
        </w:tc>
        <w:tc>
          <w:tcPr>
            <w:tcW w:w="1200" w:type="dxa"/>
            <w:vAlign w:val="bottom"/>
          </w:tcPr>
          <w:p>
            <w:pPr>
              <w:jc w:val="center"/>
              <w:ind w:right="30"/>
              <w:spacing w:after="0" w:line="157"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13,420,986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186,745,489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(4,917,318)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181,962,381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369,962</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shares ($0.30 per share)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(4,055,897)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(4,055,897)</w:t>
            </w: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4,253,350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4,253,350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13,519,655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187,114,464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(4,719,865)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182,529,796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70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27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20" w:type="dxa"/>
            <w:vAlign w:val="bottom"/>
            <w:gridSpan w:val="3"/>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Additional Paid-</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14"/>
                <w:szCs w:val="14"/>
                <w:color w:val="auto"/>
              </w:rPr>
            </w:pPr>
          </w:p>
        </w:tc>
        <w:tc>
          <w:tcPr>
            <w:tcW w:w="1200" w:type="dxa"/>
            <w:vAlign w:val="bottom"/>
          </w:tcPr>
          <w:p>
            <w:pPr>
              <w:jc w:val="center"/>
              <w:ind w:right="30"/>
              <w:spacing w:after="0" w:line="156"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7,004,676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70,047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115,022,034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(954,334)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114,137,747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net of forfeitures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shares ($0.30 per share)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(4,026,448)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(4,026,448)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71,289,741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71,353,741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3,099,437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13,421,494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134,215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186,555,228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(1,881,345)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184,808,098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3,099,437</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(used in) operating activities: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deferred loan original issue discount and premium, net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(292,672)</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243,621</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(3,740,082)</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PIK interest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(534,325)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378,337</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management and incentive fees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(393,063)</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direct administrative expenses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212,915</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1,165,237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(914,591)</w:t>
            </w:r>
          </w:p>
        </w:tc>
        <w:tc>
          <w:tcPr>
            <w:tcW w:w="0" w:type="dxa"/>
            <w:vAlign w:val="bottom"/>
          </w:tcPr>
          <w:p>
            <w:pPr>
              <w:spacing w:after="0"/>
              <w:rPr>
                <w:sz w:val="1"/>
                <w:szCs w:val="1"/>
                <w:color w:val="auto"/>
              </w:rPr>
            </w:pPr>
          </w:p>
        </w:tc>
      </w:tr>
      <w:tr>
        <w:trPr>
          <w:trHeight w:val="88"/>
        </w:trPr>
        <w:tc>
          <w:tcPr>
            <w:tcW w:w="78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and fundings on loans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(85,191,929)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(104,743,576)</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70,099,302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9,015,769</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(15,092,627)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(95,727,807)</w:t>
            </w:r>
          </w:p>
        </w:tc>
        <w:tc>
          <w:tcPr>
            <w:tcW w:w="0" w:type="dxa"/>
            <w:vAlign w:val="bottom"/>
          </w:tcPr>
          <w:p>
            <w:pPr>
              <w:spacing w:after="0"/>
              <w:rPr>
                <w:sz w:val="1"/>
                <w:szCs w:val="1"/>
                <w:color w:val="auto"/>
              </w:rPr>
            </w:pPr>
          </w:p>
        </w:tc>
      </w:tr>
      <w:tr>
        <w:trPr>
          <w:trHeight w:val="88"/>
        </w:trPr>
        <w:tc>
          <w:tcPr>
            <w:tcW w:w="7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72,588,000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offering costs - equity offering</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(313,421)</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revolving credit facilities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81,060,000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(236,700,000)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common shareholders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(2,941,964)</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13,140,901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(86,341,592)</w:t>
            </w:r>
          </w:p>
        </w:tc>
        <w:tc>
          <w:tcPr>
            <w:tcW w:w="0" w:type="dxa"/>
            <w:vAlign w:val="bottom"/>
          </w:tcPr>
          <w:p>
            <w:pPr>
              <w:spacing w:after="0"/>
              <w:rPr>
                <w:sz w:val="1"/>
                <w:szCs w:val="1"/>
                <w:color w:val="auto"/>
              </w:rPr>
            </w:pPr>
          </w:p>
        </w:tc>
      </w:tr>
      <w:tr>
        <w:trPr>
          <w:trHeight w:val="88"/>
        </w:trPr>
        <w:tc>
          <w:tcPr>
            <w:tcW w:w="78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(786,489)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(182,983,990)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6,445,328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184,626,770</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5,658,839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1,642,780</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8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OID withheld from funding of loans</w:t>
            </w: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903,135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1,412,778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investment in unconsolidated real estate joint venture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24,635,000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not yet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4,055,897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4,026,448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Offering costs included in accounts payable and other liabilities</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tcBorders>
              <w:top w:val="single" w:sz="8" w:color="CCEEFF"/>
            </w:tcBorders>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920,838</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8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2,273,261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267,429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top w:val="single" w:sz="8" w:color="CCEEFF"/>
            </w:tcBorders>
            <w:vMerge w:val="continue"/>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unaudited interim consolidated financial statements</w:t>
      </w:r>
    </w:p>
    <w:p>
      <w:pPr>
        <w:sectPr>
          <w:pgSz w:w="11900" w:h="16838" w:orient="portrait"/>
          <w:cols w:equalWidth="0" w:num="1">
            <w:col w:w="11080"/>
          </w:cols>
          <w:pgMar w:left="320" w:top="290" w:right="4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90" w:right="4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Sunrise Realty Trust, Inc. (the “Company” or “SUNS”) was formed on August 28, 2023, and converted from a Delaware limited liability company to a Maryland corporation in February 2024. The Company is an institutional lender that provides debt capital solutions to the commercial real estate (“CRE”) market in the Southern United States, with a primary focus on opportunities in Arizona, Florida, Georgia, Nevada, North Carolina, South Carolina, Tennessee and Texas. The Company focuses on originating, underwriting and managing CRE debt investments and providing capital to high-quality borrowers and sponsors with transitional business plans collateralized by CRE assets with opportunities for near-term value creation, as well as recapitalization opportunities. The Company intends to further diversify its investment portfolio, targeting investments in senior mortgage loans, mezzanine loans, B-notes, commercial mortgage-backed securities (“CMBS”) and debt-like preferred equity securities across CRE asset classes. The Company intends for its investment mix to include high quality residential (including multi-family, condominiums and single-family residential communities), retail, office, hospitality, industrial, mixed-use and specialty-use real estate. The Company operates in one operating segment.</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SUNS is externally managed and advised by Sunrise Manager LLC (“SUNS Manager” or the “Manager”), a registered investment adviser under the Investment Advisers Act of 1940, as amended (the “Advisers Act”). The Company consolidates all of its subsidiaries, which are consolidated within the Company’s consolidated financial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REIT for United States federal income tax purposes under the Internal Revenue Code (the “Code”), commencing with the taxable year ending December 31, 2024. The Company generally will not be subject to United States federal income taxes on its REIT taxable income as long as it annually distributes all of its REIT taxable income prior to the deduction for dividends paid to shareholders and complies with various other requirements as a REIT.</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should be read in conjunction with the audited financial statements and results of operations included in the Company’s Annual Report on Form 10-K for the fiscal year ended December 31, 2025 filed with the U.S. Securities and Exchange Commission (“SEC”).</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2 to the Company’s Annual Report on Form 10-K for a description of the Company’s significant accounting policies. The Company has included disclosures below regarding basis of presentation and other accounting policies that (i) are required to be disclosed quarterly, (ii) have material changes or (iii) the Company views as critical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and related notes have been prepared on the accrual basis of accounting in conformity with accounting principles generally accepted in the United States of America (“GAAP”) and in conformity with the rules and regulations of the SEC applicable to interim financial information and include the accounts of the Company and its wholly-owned subsidiaries. The unaudited interim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and disclosures. Actual results could differ from those estimates. Significant estimates include the current expected credit losses reserve (“CECL Reserve”) and the valuation of real estate owned (“REO”) acquired through foreclosure proceedings.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its investment in unconsolidated real estate joint ventures over which it has the ability to exercise significant influence, but does not control, under the equity method of accounting in accordance with ASC 323, Investments—Equity Method and Joint Ventures. Under the equity method, the Company initially records the investment at cost and subsequently adjusts the carrying value of the investment to recognize the Company’s proportionate share of the investee’s earnings or losses, which are included in equity in earnings (loss) of unconsolidated joint ventures in the consolidated statements of operations.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instances where the Company acquires real estate through foreclosure proceedings and contributes such real estate to an unconsolidated real estate joint venture, the Company initially records its investment in the joint venture at the fair value of the real estate contributed on the date of contribution. Fair value is generally determined based on the appraised value of the underlying real estate, less estimated costs to sell, as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investees are recorded as reductions of the investment balance to the extent they represent returns of investment.</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the carrying value of the investment may not be recoverable or that a decline in value may be other-than-temporary. In evaluating whether an other-than-temporary impairment exists, the Company considers various qualitative and quantitative factors, including the financial condition and near-term prospects of the investee, the underlying collateral and asset quality, expected holding period, market conditions and other relevant factors. If the Company determines that a decline in value is other-than-temporary, the investment is written down to its estimated fair value, with the resulting impairment recognized in earnings.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Pending Adoption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2024-03—Income Statement—Reporting Comprehensive Income—Expense Disaggregation Disclosures (Subtopic 220-40): Disaggregation of Income Statement Expenses (“ASU 2024-03”) and in January 2025, the FASB issued ASU 2025-01—Income Statement—Reporting Comprehensive Income—Expense Disaggregation Disclosures (Subtopic 220-40): Clarifying the Effective Date (“ASU 2025-01”), which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adoption of ASU 2024-03 is not expected to have a material impact on the Company’s consolidated financial statements.</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LOANS HELD FOR INVESTMENT AT CARRYING VALUE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the Company’s portfolio included 15 and 16 loans held at carrying value, respectively. The aggregate originated commitment under these loans was approximately $397.1 million and $420.7 million, respectively, and outstanding principal was approximately $299.3 million and $305.5 million, respectively, as of March 31, 2026 and December 31, 2025. During the three months ended March 31, 2026, the Company funded approximately $90.2 million of new loans and additional principal on existing loans and had approximately $70.1 million of principal repayments of loans held at carrying value. As of March 31, 2026 and December 31, 2025, approximately 96.2% and 96.4%, respectively, of the Company’s loans held at carrying value had floating interest rates. As of March 31, 2026, these floating benchmark rates included one-month Secured Overnight Financing Rate (“SOFR”) quoted at 3.7% and subject to a weighted average floor of 3.9%, and U.S. prime rate quoted at 6.75% and subject to a weighted average floor of 8.0% based on outstanding principal.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loans held at carrying value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226,160,188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224,197,678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73,126,550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(483,198)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72,643,352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299,286,738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(2,445,708)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296,841,030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282,678,920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279,874,922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22,834,265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22,799,821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carrying value and the outstanding principal amount of the loans consists of unaccreted OID or premium and loan origination costs.</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remaining life is calculated based on the carrying value of each respective group of loans as of March 31, 2026 and December 31, 2025.</w:t>
      </w:r>
    </w:p>
    <w:p>
      <w:pPr>
        <w:spacing w:after="0" w:line="59" w:lineRule="exact"/>
        <w:rPr>
          <w:rFonts w:ascii="Times New Roman" w:cs="Times New Roman" w:eastAsia="Times New Roman" w:hAnsi="Times New Roman"/>
          <w:sz w:val="16"/>
          <w:szCs w:val="16"/>
          <w:color w:val="auto"/>
        </w:rPr>
      </w:pPr>
    </w:p>
    <w:p>
      <w:pPr>
        <w:ind w:left="660" w:hanging="328"/>
        <w:spacing w:after="0" w:line="290"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mortgage loans include senior loans that also have a contiguous subordinate loan because as a whole, the expected credit quality of the subordinate loan is more similar to that of a senior loan.</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holds both the A-note and B-note, the loan is categorized as a senior mortgage loan.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loans held at carrying value as of and for the three months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16"/>
                <w:szCs w:val="16"/>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fundings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86,095,064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85,191,929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4,124,684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 and premium, net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1,129,036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repayments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(70,099,302)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Foreclosure and contribution to real estate joint venture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(26,379,740)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(26,212,907)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PIK interest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March 31, 2026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299,286,738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(2,445,708)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296,841,030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loans in the Company’s portfolio on nonaccrual status. As of December 31, 2025, the Company had one loan held at carrying value on nonaccrual status.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derecognized its senior hospitality loan in San Antonio, Texas (the “San Antonio Loan”) in connection with the foreclosure on the underlying collateral and the contemporaneous contribution of the acquired real estate to a newly formed unconsolidated joint venture. In exchange, the Company received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equity interest in the joint venture, which is accounted for under the equity method. The contribution was recorded based on the fair value of the underlying collateral of approximately $24.6 million. See Note 6 included in these consolidated financial statements for 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portfolio based on information available as of March 31, 2026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Issue</w:t>
            </w:r>
          </w:p>
        </w:tc>
        <w:tc>
          <w:tcPr>
            <w:tcW w:w="200" w:type="dxa"/>
            <w:vAlign w:val="bottom"/>
          </w:tcPr>
          <w:p>
            <w:pPr>
              <w:spacing w:after="0"/>
              <w:rPr>
                <w:sz w:val="12"/>
                <w:szCs w:val="12"/>
                <w:color w:val="auto"/>
              </w:rPr>
            </w:pP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46"/>
        </w:trPr>
        <w:tc>
          <w:tcPr>
            <w:tcW w:w="22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Loan Type</w:t>
            </w:r>
          </w:p>
        </w:tc>
        <w:tc>
          <w:tcPr>
            <w:tcW w:w="16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4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Principal</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200" w:type="dxa"/>
            <w:vAlign w:val="bottom"/>
          </w:tcPr>
          <w:p>
            <w:pPr>
              <w:spacing w:after="0"/>
              <w:rPr>
                <w:sz w:val="17"/>
                <w:szCs w:val="17"/>
                <w:color w:val="auto"/>
              </w:rPr>
            </w:pPr>
          </w:p>
        </w:tc>
        <w:tc>
          <w:tcPr>
            <w:tcW w:w="1020" w:type="dxa"/>
            <w:vAlign w:val="bottom"/>
          </w:tcPr>
          <w:p>
            <w:pPr>
              <w:jc w:val="right"/>
              <w:ind w:right="308"/>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0"/>
              </w:rPr>
              <w:t>Date</w:t>
            </w:r>
            <w:r>
              <w:rPr>
                <w:rFonts w:ascii="Times New Roman" w:cs="Times New Roman" w:eastAsia="Times New Roman" w:hAnsi="Times New Roman"/>
                <w:sz w:val="18"/>
                <w:szCs w:val="18"/>
                <w:b w:val="1"/>
                <w:bCs w:val="1"/>
                <w:color w:val="auto"/>
                <w:w w:val="90"/>
                <w:vertAlign w:val="superscript"/>
              </w:rPr>
              <w:t>(2)</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Terms</w:t>
            </w:r>
            <w:r>
              <w:rPr>
                <w:rFonts w:ascii="Times New Roman" w:cs="Times New Roman" w:eastAsia="Times New Roman" w:hAnsi="Times New Roman"/>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191"/>
        </w:trPr>
        <w:tc>
          <w:tcPr>
            <w:tcW w:w="2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Senior mortgage loans:</w:t>
            </w:r>
          </w:p>
        </w:tc>
        <w:tc>
          <w:tcPr>
            <w:tcW w:w="1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14,087,288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13,950,369</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9.75 % </w:t>
            </w:r>
            <w:r>
              <w:rPr>
                <w:rFonts w:ascii="Times New Roman" w:cs="Times New Roman" w:eastAsia="Times New Roman" w:hAnsi="Times New Roman"/>
                <w:sz w:val="9"/>
                <w:szCs w:val="9"/>
                <w:color w:val="auto"/>
              </w:rPr>
              <w:t>(4)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Palm Beach Gardens,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28,637,600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28,443,740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12.25 % </w:t>
            </w:r>
            <w:r>
              <w:rPr>
                <w:rFonts w:ascii="Times New Roman" w:cs="Times New Roman" w:eastAsia="Times New Roman" w:hAnsi="Times New Roman"/>
                <w:sz w:val="9"/>
                <w:szCs w:val="9"/>
                <w:color w:val="auto"/>
              </w:rPr>
              <w:t>(5)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Palm Beach Gardens,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25,114,339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24,943,286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10.25 % </w:t>
            </w:r>
            <w:r>
              <w:rPr>
                <w:rFonts w:ascii="Times New Roman" w:cs="Times New Roman" w:eastAsia="Times New Roman" w:hAnsi="Times New Roman"/>
                <w:sz w:val="9"/>
                <w:szCs w:val="9"/>
                <w:color w:val="auto"/>
              </w:rPr>
              <w:t>(6)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 Lauderdale,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16,672,674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16,568,828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11.48 % </w:t>
            </w:r>
            <w:r>
              <w:rPr>
                <w:rFonts w:ascii="Times New Roman" w:cs="Times New Roman" w:eastAsia="Times New Roman" w:hAnsi="Times New Roman"/>
                <w:sz w:val="9"/>
                <w:szCs w:val="9"/>
                <w:color w:val="auto"/>
              </w:rPr>
              <w:t>(7)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12/30/2026</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Hospitality</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32,000,000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31,777,778</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9.50 % </w:t>
            </w:r>
            <w:r>
              <w:rPr>
                <w:rFonts w:ascii="Times New Roman" w:cs="Times New Roman" w:eastAsia="Times New Roman" w:hAnsi="Times New Roman"/>
                <w:sz w:val="9"/>
                <w:szCs w:val="9"/>
                <w:color w:val="auto"/>
              </w:rPr>
              <w:t>(8)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Aventura,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30,750,872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30,630,543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9.00 % </w:t>
            </w:r>
            <w:r>
              <w:rPr>
                <w:rFonts w:ascii="Times New Roman" w:cs="Times New Roman" w:eastAsia="Times New Roman" w:hAnsi="Times New Roman"/>
                <w:sz w:val="9"/>
                <w:szCs w:val="9"/>
                <w:color w:val="auto"/>
              </w:rPr>
              <w:t>(9)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Leased Tenant</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Orleans, LA</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18,196,973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17,928,084</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10.10 % </w:t>
            </w:r>
            <w:r>
              <w:rPr>
                <w:rFonts w:ascii="Times New Roman" w:cs="Times New Roman" w:eastAsia="Times New Roman" w:hAnsi="Times New Roman"/>
                <w:sz w:val="9"/>
                <w:szCs w:val="9"/>
                <w:color w:val="auto"/>
              </w:rPr>
              <w:t>(10)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1/30/2028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Park City, UT</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4,295,478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4,153,170</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11.25 % </w:t>
            </w:r>
            <w:r>
              <w:rPr>
                <w:rFonts w:ascii="Times New Roman" w:cs="Times New Roman" w:eastAsia="Times New Roman" w:hAnsi="Times New Roman"/>
                <w:sz w:val="9"/>
                <w:szCs w:val="9"/>
                <w:color w:val="auto"/>
              </w:rPr>
              <w:t>(11)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23,468,054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23,322,220</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8.41 % </w:t>
            </w:r>
            <w:r>
              <w:rPr>
                <w:rFonts w:ascii="Times New Roman" w:cs="Times New Roman" w:eastAsia="Times New Roman" w:hAnsi="Times New Roman"/>
                <w:sz w:val="9"/>
                <w:szCs w:val="9"/>
                <w:color w:val="auto"/>
              </w:rPr>
              <w:t>(12)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9/25/2028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Doral,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8,887,586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8,817,236</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9.95 % </w:t>
            </w:r>
            <w:r>
              <w:rPr>
                <w:rFonts w:ascii="Times New Roman" w:cs="Times New Roman" w:eastAsia="Times New Roman" w:hAnsi="Times New Roman"/>
                <w:sz w:val="9"/>
                <w:szCs w:val="9"/>
                <w:color w:val="auto"/>
              </w:rPr>
              <w:t>(13)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Palm Beach,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1,830,567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1,702,000</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9.95 % </w:t>
            </w:r>
            <w:r>
              <w:rPr>
                <w:rFonts w:ascii="Times New Roman" w:cs="Times New Roman" w:eastAsia="Times New Roman" w:hAnsi="Times New Roman"/>
                <w:sz w:val="9"/>
                <w:szCs w:val="9"/>
                <w:color w:val="auto"/>
              </w:rPr>
              <w:t>(13)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TX</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22,218,757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21,960,424</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9.50 % </w:t>
            </w:r>
            <w:r>
              <w:rPr>
                <w:rFonts w:ascii="Times New Roman" w:cs="Times New Roman" w:eastAsia="Times New Roman" w:hAnsi="Times New Roman"/>
                <w:sz w:val="9"/>
                <w:szCs w:val="9"/>
                <w:color w:val="auto"/>
              </w:rPr>
              <w:t>(14)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10/24/2028</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Subordinate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11,296,455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11,227,844</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13.25 % </w:t>
            </w:r>
            <w:r>
              <w:rPr>
                <w:rFonts w:ascii="Times New Roman" w:cs="Times New Roman" w:eastAsia="Times New Roman" w:hAnsi="Times New Roman"/>
                <w:sz w:val="9"/>
                <w:szCs w:val="9"/>
                <w:color w:val="auto"/>
              </w:rPr>
              <w:t>(15)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11/15/2027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16,536,991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16,578,241</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14.50 % </w:t>
            </w:r>
            <w:r>
              <w:rPr>
                <w:rFonts w:ascii="Times New Roman" w:cs="Times New Roman" w:eastAsia="Times New Roman" w:hAnsi="Times New Roman"/>
                <w:sz w:val="9"/>
                <w:szCs w:val="9"/>
                <w:color w:val="auto"/>
              </w:rPr>
              <w:t>(16)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Hospitality</w:t>
            </w:r>
          </w:p>
        </w:tc>
        <w:tc>
          <w:tcPr>
            <w:tcW w:w="1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Diversified</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45,293,104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44,837,267</w:t>
            </w:r>
          </w:p>
        </w:tc>
        <w:tc>
          <w:tcPr>
            <w:tcW w:w="154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11.25 % </w:t>
            </w:r>
            <w:r>
              <w:rPr>
                <w:rFonts w:ascii="Times New Roman" w:cs="Times New Roman" w:eastAsia="Times New Roman" w:hAnsi="Times New Roman"/>
                <w:sz w:val="9"/>
                <w:szCs w:val="9"/>
                <w:color w:val="auto"/>
              </w:rPr>
              <w:t>(17)</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2/13/2029</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28"/>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held at carrying value</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299,286,738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(2,445,708)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296,841,030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carrying value and the outstanding principal amount of the loans consists of unaccreted OID or premium and loan origination costs.</w:t>
      </w:r>
    </w:p>
    <w:p>
      <w:pPr>
        <w:spacing w:after="0" w:line="59"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w:t>
      </w:r>
    </w:p>
    <w:p>
      <w:pPr>
        <w:spacing w:after="0" w:line="2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I/O = interest-only, P/I = principal and interest. P/I loans may include interest-only periods for a portion of the loan term.</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5.00% plus SOFR (SOFR floor of 4.75%).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8.25% plus SOFR (SOFR floor of 4.00%).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6.25% plus SOFR (SOFR floor of 4.00%).</w:t>
      </w:r>
    </w:p>
    <w:p>
      <w:pPr>
        <w:spacing w:after="0" w:line="59"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interest rate represents a blended rate of differing cash interest rates applicable to each of the A-Notes and B-Notes to which the Company is a lender under the credit agreements. The A-Notes bear interest at a base interest rate of 4.75% plus SOFR (SOFR floor of 4.75%) and the B-Notes bear interest at a base interest rate of 11.00% plus SOFR (SOFR floor of 4.75%).</w:t>
      </w:r>
    </w:p>
    <w:p>
      <w:pPr>
        <w:spacing w:after="0" w:line="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5.50% plus SOFR (SOFR floor of 4.00%).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5.00% plus SOFR (SOFR floor of 4.00%).</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5.60% plus SOFR (SOFR floor of 4.50%).</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3.25% plus U.S. prime rate (U.S. prime floor of 8.00%).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4.75% plus SOFR (SOFR floor of 3.50%).</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6.20% plus SOFR (SOFR floor of 3.75%).</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5.75% plus SOFR (SOFR floor of 3.75%).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13.25%.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9.50% plus SOFR (SOFR floor of 4.00%) and PIK interest rate of 1.00%.</w:t>
      </w:r>
    </w:p>
    <w:p>
      <w:pPr>
        <w:spacing w:after="0" w:line="6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Base interest rate of </w:t>
      </w:r>
      <w:r>
        <w:rPr>
          <w:rFonts w:ascii="Times New Roman" w:cs="Times New Roman" w:eastAsia="Times New Roman" w:hAnsi="Times New Roman"/>
          <w:sz w:val="17"/>
          <w:szCs w:val="17"/>
          <w:color w:val="auto"/>
        </w:rPr>
        <w:t>8.25%</w:t>
      </w:r>
      <w:r>
        <w:rPr>
          <w:rFonts w:ascii="Times New Roman" w:cs="Times New Roman" w:eastAsia="Times New Roman" w:hAnsi="Times New Roman"/>
          <w:sz w:val="16"/>
          <w:szCs w:val="16"/>
          <w:color w:val="auto"/>
        </w:rPr>
        <w:t xml:space="preserve"> plus SOFR (SOFR floor of </w:t>
      </w:r>
      <w:r>
        <w:rPr>
          <w:rFonts w:ascii="Times New Roman" w:cs="Times New Roman" w:eastAsia="Times New Roman" w:hAnsi="Times New Roman"/>
          <w:sz w:val="17"/>
          <w:szCs w:val="17"/>
          <w:color w:val="auto"/>
        </w:rPr>
        <w:t>3.00%)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CURRENT EXPECTED CREDIT LOSSES</w:t>
      </w:r>
    </w:p>
    <w:p>
      <w:pPr>
        <w:spacing w:after="0" w:line="18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Company’s CECL Reserve for its loans held at carrying value was approximately $0.6 million and $2.1 million, respectively, or 0.19% and 0.68%, respectively, of the Company’s total loans held at carrying value of approximately $296.8 million and $302.7 million, respectively, and is bifurcated between the current expected credit loss reserve (contra-asset) related to outstanding balances on loans held at carrying value of approximately $0.3 million and $1.9 million, respectively, and a liability for unfunded commitments of approximately $0.2 million and $0.2 million, respectively.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as of and for the three months ended March 31, 2026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Unfunded</w:t>
            </w:r>
            <w:r>
              <w:rPr>
                <w:rFonts w:ascii="Times New Roman" w:cs="Times New Roman" w:eastAsia="Times New Roman" w:hAnsi="Times New Roman"/>
                <w:sz w:val="23"/>
                <w:szCs w:val="23"/>
                <w:b w:val="1"/>
                <w:bCs w:val="1"/>
                <w:color w:val="auto"/>
                <w:vertAlign w:val="superscript"/>
              </w:rPr>
              <w:t>(2)</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1,891,170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178,066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2,069,236</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60,283</w:t>
            </w:r>
          </w:p>
        </w:tc>
      </w:tr>
      <w:tr>
        <w:trPr>
          <w:trHeight w:val="230"/>
        </w:trPr>
        <w:tc>
          <w:tcPr>
            <w:tcW w:w="6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Write-offs</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(1,577,907)</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228,826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551,612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40" w:hanging="328"/>
        <w:spacing w:after="0" w:line="298"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March 31, 2026 and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16"/>
          <w:szCs w:val="16"/>
          <w:color w:val="auto"/>
        </w:rPr>
        <w:t>, the CECL Reserve related to outstanding balances on loans held at carrying value is recorded within current expected credit loss reserve in the Company’s consolidated balance sheets.</w:t>
      </w:r>
    </w:p>
    <w:p>
      <w:pPr>
        <w:spacing w:after="0" w:line="1" w:lineRule="exact"/>
        <w:rPr>
          <w:rFonts w:ascii="Times New Roman" w:cs="Times New Roman" w:eastAsia="Times New Roman" w:hAnsi="Times New Roman"/>
          <w:sz w:val="16"/>
          <w:szCs w:val="16"/>
          <w:color w:val="auto"/>
        </w:rPr>
      </w:pPr>
    </w:p>
    <w:p>
      <w:pPr>
        <w:ind w:left="660" w:right="20" w:hanging="328"/>
        <w:spacing w:after="0" w:line="293"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March 31, 2026 and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16"/>
          <w:szCs w:val="16"/>
          <w:color w:val="auto"/>
        </w:rPr>
        <w:t>, the CECL Reserve related to unfunded commitments on loans held at carrying value is recorded within current expected credit loss reserve as a liability in the Company’s consolidated balance sheets.</w:t>
      </w:r>
    </w:p>
    <w:p>
      <w:pPr>
        <w:ind w:left="660" w:right="20" w:hanging="328"/>
        <w:spacing w:after="0" w:line="280"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2026, the Company wrote off the provision for credit losses associated with the San Antonio Loan that was derecognized in connection with the foreclosure and contribution to a joint venture.</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continuously evaluates the credit quality of each loan by assessing the risk factors of each loan and assigning a risk rating based on a variety of factors. Such factors may include property type, geographic and local market dynamics, physical condition, projected cash flow, loan structure and exit plan, loan-to-value ratio, fixed charge coverage ratio, project sponsorship, and other factors deemed necessary by the Company. Based on a 5-point scale, the Company’s loans are rated “1” through “5,” from less risk to greater risk, which ratings are defined as follows: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96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0"/>
        </w:trPr>
        <w:tc>
          <w:tcPr>
            <w:tcW w:w="160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6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Very Low Risk — Investment exceeds performance expectations. Trends and risk factors since time of investment are favorable.</w:t>
            </w:r>
          </w:p>
        </w:tc>
      </w:tr>
      <w:tr>
        <w:trPr>
          <w:trHeight w:val="211"/>
        </w:trPr>
        <w:tc>
          <w:tcPr>
            <w:tcW w:w="16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9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Low Risk — Investment performing consistent with expectations and a full return of principal and interest expected. Trends and</w:t>
            </w:r>
          </w:p>
        </w:tc>
      </w:tr>
      <w:tr>
        <w:trPr>
          <w:trHeight w:val="24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9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risk factors are neutral to favorable.</w:t>
            </w:r>
          </w:p>
        </w:tc>
      </w:tr>
      <w:tr>
        <w:trPr>
          <w:trHeight w:val="250"/>
        </w:trPr>
        <w:tc>
          <w:tcPr>
            <w:tcW w:w="160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96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Medium Risk — Performing investments requiring closer monitoring. Trends and risk factors show some deterioration.</w:t>
            </w:r>
          </w:p>
        </w:tc>
      </w:tr>
      <w:tr>
        <w:trPr>
          <w:trHeight w:val="211"/>
        </w:trPr>
        <w:tc>
          <w:tcPr>
            <w:tcW w:w="16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9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High Risk/ Potential for Loss — Investment underperforming with the potential of some interest loss. Trends and risk factors are</w:t>
            </w:r>
          </w:p>
        </w:tc>
      </w:tr>
      <w:tr>
        <w:trPr>
          <w:trHeight w:val="24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9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negative.</w:t>
            </w:r>
          </w:p>
        </w:tc>
      </w:tr>
      <w:tr>
        <w:trPr>
          <w:trHeight w:val="250"/>
        </w:trPr>
        <w:tc>
          <w:tcPr>
            <w:tcW w:w="160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96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Impaired/ Loss Likely — Investment underperforming with expected loss of interest, and full recovery of principal is unlikely.</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ratings are primarily based on historical data as well as taking into account future economic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carrying value, excluding the CECL Reserve, of the Company’s loans held at carrying value within each risk rating by year of origination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13,950,369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13,950,369</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44,837,267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125,091,918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112,961,476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282,890,661</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44,837,267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125,091,918</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126,911,845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296,841,030</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write-offs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(1,577,907)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(1,577,907)</w:t>
            </w:r>
          </w:p>
        </w:tc>
      </w:tr>
      <w:tr>
        <w:trPr>
          <w:trHeight w:val="21"/>
        </w:trPr>
        <w:tc>
          <w:tcPr>
            <w:tcW w:w="2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and its affiliate co-lender exercised their rights to foreclose on the hotel property underlying the San Antonio Loan. Upon foreclosure, the Company derecognized the loan and the related CECL reserve of approximately $1.6 million. At the time of foreclosure, the San Antonio Loan had an outstanding principal balance of approximately $26.4 million and an amortized cost basis of approximately $26.2 million. Prior to foreclosure, the loan had a risk rating of “5.” The amortized cost basis of the loan, net of the related CECL reserve, approximated the fair value of the acquired collateral of approximately $24.6 million, which was subsequently contributed to a newly formed unconsolidated joint venture. See Note 6 included in these consolidated financial statements for additional information.</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INTEREST RECEIVABLE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balance for the Company as of March 31, 2026 and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20" w:type="dxa"/>
            <w:vAlign w:val="bottom"/>
          </w:tcPr>
          <w:p>
            <w:pPr>
              <w:spacing w:after="0"/>
              <w:rPr>
                <w:sz w:val="18"/>
                <w:szCs w:val="18"/>
                <w:color w:val="auto"/>
              </w:rPr>
            </w:pP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9"/>
        </w:trPr>
        <w:tc>
          <w:tcPr>
            <w:tcW w:w="7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2,552,955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2,251,700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fees receivable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PIK receivable</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fees receivable</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2,571,173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2,264,133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INVESTMENT IN UNCONSOLIDATED REAL ESTATE JOINT VENTURE</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February 2026, the Company, together with the affiliate co-lender to the San Antonio Loan, formed 123 Lex Ave Hotel Holdings LLC (the “Lex Ave JV”) in proportion to their respective interests in the San Antonio Loan.</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2026, the lenders exercised their rights to foreclose on the hotel property that served as the underlying collateral for the San Antonio Loan. Upon foreclosure, legal title to the property was obtained by the lenders, and the property was contemporaneously contributed to the Lex Ave JV. Upon foreclosure, the Company recognized real estate owned (“REO”) at the lesser of the carrying value of the San Antonio Loan and the fair value of the underlying collateral. The Company’s contribution to the Lex Ave JV was recorded at the fair value of the contributed REO of approximately $24.6 million. The Lex Ave JV acquired the hotel property through a credit bid equal to the aggregate unpaid principal balance of approximately $40.6 million.</w:t>
      </w: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contribution, the Company holds a 65.0% ownership interest in the Lex Ave JV. The Company’s investment in the Lex Ave JV was initially recorded based on its proportionate share of the fair value of the contributed net assets. No gain or loss was recognized upon foreclosure and contribution, as the transaction was accounted for as an exchange of the loan for an equity method investment.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 in the Lex Ave JV during the three months ended March 31, 2026 consisted of the initial contribution described above. There were no additional capital contributions, distributions, or equity in earnings (loss) during the period.</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formation of the Lex Ave JV and related contribution resulted in the derecognition of the San Antonio Loan from the Company’s consolidated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unconsolidated real estate joint ventures as of March 31, 2026 and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Formed</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280" w:type="dxa"/>
            <w:vAlign w:val="bottom"/>
          </w:tcPr>
          <w:p>
            <w:pPr>
              <w:spacing w:after="0"/>
              <w:rPr>
                <w:sz w:val="17"/>
                <w:szCs w:val="17"/>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00" w:type="dxa"/>
            <w:vAlign w:val="bottom"/>
          </w:tcPr>
          <w:p>
            <w:pPr>
              <w:spacing w:after="0"/>
              <w:rPr>
                <w:sz w:val="17"/>
                <w:szCs w:val="17"/>
                <w:color w:val="auto"/>
              </w:rPr>
            </w:pP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43"/>
        </w:trPr>
        <w:tc>
          <w:tcPr>
            <w:tcW w:w="3780" w:type="dxa"/>
            <w:vAlign w:val="bottom"/>
            <w:gridSpan w:val="2"/>
            <w:vMerge w:val="continue"/>
          </w:tcPr>
          <w:p>
            <w:pPr>
              <w:spacing w:after="0"/>
              <w:rPr>
                <w:sz w:val="21"/>
                <w:szCs w:val="21"/>
                <w:color w:val="auto"/>
              </w:rPr>
            </w:pPr>
          </w:p>
        </w:tc>
        <w:tc>
          <w:tcPr>
            <w:tcW w:w="198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1"/>
                <w:szCs w:val="21"/>
                <w:color w:val="auto"/>
              </w:rPr>
            </w:pP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123 Lex Ave Hotel Holdings LLC</w:t>
            </w:r>
          </w:p>
        </w:tc>
        <w:tc>
          <w:tcPr>
            <w:tcW w:w="18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2/27/2026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November 6, 2024, the Company entered into a Loan and Security Agreement (as amended, the “Revolving Credit Agreement”) with the lenders party thereto and East West Bank, as administrative agent. The Revolving Credit Agreement provides for a senior secured revolving credit facility (the “Revolving Credit Facility”) with initial aggregate commitments of $50.0 million, which may be borrowed, repaid and redrawn, subject to a borrowing base based on eligible loan obligations held by the Company and subject to the satisfaction of other conditions provided under the Revolving Credit Agreement.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series of amendments to the Revolving Credit Facility that, among other things, increased the aggregate commitment from $50.0 million to $140.0 million.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the Company entered into Amendment Number Seven to the Revolving Credit Facility (“Amendment Number Seven”), by and among the Company and certain subsidiaries, as borrowers, the lenders party thereto, and East West Bank, as administrative agent, which, among other things (i) facilitated the entry of an additional lender; (ii) increased the aggregate commitment by $25.0 million, for a total maximum revolver usage of $165.0 million; and (iii) revised the required consent from certain lenders to advance additional funds under the Revolving Credit Agreement. Pursuant to the Revolving Credit Agreement, total commitments may be increased to up to $200.0 million, subject to borrowing base availability and lender participation. The Revolving Credit Facility matures on November 8, 2027.</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SOFR plus 2.75%, subject to a SOFR floor of 2.63%, with an additional 0.25% during any Increase Rate Month (as defined in the Revolving Credit Agreement).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Company is required to pay certain fees under the Revolving Credit Agreement, including a $75.0 thousand agent fee and a 0.25% per annum unused commitment fee, payable semi-annually in arrears, subject to waiver if specified utilization thresholds are met. During the </w:t>
      </w:r>
      <w:r>
        <w:rPr>
          <w:rFonts w:ascii="Times New Roman" w:cs="Times New Roman" w:eastAsia="Times New Roman" w:hAnsi="Times New Roman"/>
          <w:sz w:val="18"/>
          <w:szCs w:val="18"/>
          <w:color w:val="000000"/>
        </w:rPr>
        <w:t>three months ended March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2026 </w:t>
      </w:r>
      <w:r>
        <w:rPr>
          <w:rFonts w:ascii="Times New Roman" w:cs="Times New Roman" w:eastAsia="Times New Roman" w:hAnsi="Times New Roman"/>
          <w:sz w:val="18"/>
          <w:szCs w:val="18"/>
          <w:color w:val="212529"/>
        </w:rPr>
        <w:t>and 2025, the Company did not incur any unused commitment fees.</w:t>
      </w:r>
      <w:r>
        <w:rPr>
          <w:rFonts w:ascii="Times New Roman" w:cs="Times New Roman" w:eastAsia="Times New Roman" w:hAnsi="Times New Roman"/>
          <w:sz w:val="18"/>
          <w:szCs w:val="18"/>
          <w:color w:val="000000"/>
        </w:rPr>
        <w:t xml:space="preserve"> In connection with the Revolving Credit Agreement and related amendments, the Company incurred certain closing costs of approximately $0.5 million, which were included in prepaid expenses and other assets on the Company’s consolidated balance sheets and amortized over the life of the </w:t>
      </w:r>
      <w:r>
        <w:rPr>
          <w:rFonts w:ascii="Times New Roman" w:cs="Times New Roman" w:eastAsia="Times New Roman" w:hAnsi="Times New Roman"/>
          <w:sz w:val="18"/>
          <w:szCs w:val="18"/>
          <w:color w:val="212529"/>
        </w:rPr>
        <w:t>Revolving Credit Facility</w:t>
      </w:r>
      <w:r>
        <w:rPr>
          <w:rFonts w:ascii="Times New Roman" w:cs="Times New Roman" w:eastAsia="Times New Roman" w:hAnsi="Times New Roman"/>
          <w:sz w:val="18"/>
          <w:szCs w:val="18"/>
          <w:color w:val="000000"/>
        </w:rPr>
        <w:t>.</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The Revolving Credit Facility is guaranteed by certain material subsidiaries of the Company and is secured by substantially all assets of the Company; provided that upon the meeting of certain conditions, the Revolving Credit Facility will be secured only by certain assets of the Company comprising of or relating to loan obligations designed for inclusion in the borrowing base. </w:t>
      </w:r>
      <w:r>
        <w:rPr>
          <w:rFonts w:ascii="Times New Roman" w:cs="Times New Roman" w:eastAsia="Times New Roman" w:hAnsi="Times New Roman"/>
          <w:sz w:val="18"/>
          <w:szCs w:val="18"/>
          <w:color w:val="000000"/>
        </w:rPr>
        <w:t>In addition, the Company is subject to various financial and other covenants,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including a liquidity and debt service coverage ratio covenant. As amended, the Revolving Credit Facility requires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 To the best of the Company’s knowledge, as of March 31, 2026, the Company was in compliance in all material respects with these covenants.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March 31, 2026 and December 31, 2025, outstanding borrowings under the Revolving Credit Facility were $88.1 million and $102.3 million, respectively, and $76.9 million and $37.7 million were available for borrowing as of March 31, 2026 and December 31, 2025, respectively. As of March 31, 2026 and December 31, 2025, the interest rate on the Company’s borrowings under the Revolving Credit Facility was 6.41% and 6.59%, respectively.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SRTF Credit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9, 2024, the Company entered into an unsecured revolving credit agreement (the “SRTF Credit Agreement”) with SRT Finance LLC, an affiliate, as agent and lender. The SRTF Credit Agreement provides for an unsecured revolving credit facility (the “SRTF Credit Facility”) with aggregate commitments of $75.0 million, which may be borrowed, repaid and redrawn, subject to a draw fee and other customary conditions.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SRTF Credit Facility bear interest at a rate per annum of 8.00%. The SRTF Credit Facility matures on the earlier of (i) May 31, 2028 and (ii) the closing date of certain Refinancing Indebtedness, as defined in the SRTF Credit Agreement. As amended, beginning January 1, 2026, the Company is required to pay a quarterly fee equal to 0.25% of the aggregate commitments ratably to the lenders, payable on the first business day of each quarter; provided that the fee due and payable on April 1, 2028 will be prorated on the basis of a year of 360 days for the actual number of days elapsed from and including April 1, 2028 until and excluding May 31, 2028.</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SRTF Credit Agreement, the Company incurred approximately $25.5 thousand of deferred financing costs, which are included in prepaid expenses and other assets and are amortized over the term of the facility.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outstanding borrowings under the SRTF Credit Facility were $51.4 million and $19.8 million, respectively, and $23.6 million and $55.2 million were available for borrowing as of March 31, 2026 and December 31, 2025,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a summary of interest expense incurred during the three months ended March 31, 2026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8"/>
              </w:rPr>
              <w:t>Revolving Credit</w:t>
            </w:r>
          </w:p>
        </w:tc>
        <w:tc>
          <w:tcPr>
            <w:tcW w:w="202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SRTF Revolving Credit</w:t>
            </w:r>
          </w:p>
        </w:tc>
        <w:tc>
          <w:tcPr>
            <w:tcW w:w="220" w:type="dxa"/>
            <w:vAlign w:val="bottom"/>
          </w:tcPr>
          <w:p>
            <w:pPr>
              <w:spacing w:after="0"/>
              <w:rPr>
                <w:sz w:val="14"/>
                <w:szCs w:val="14"/>
                <w:color w:val="auto"/>
              </w:rPr>
            </w:pPr>
          </w:p>
        </w:tc>
        <w:tc>
          <w:tcPr>
            <w:tcW w:w="1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40" w:type="dxa"/>
            <w:vAlign w:val="bottom"/>
          </w:tcPr>
          <w:p>
            <w:pPr>
              <w:spacing w:after="0"/>
              <w:rPr>
                <w:sz w:val="21"/>
                <w:szCs w:val="21"/>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2,623,528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1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344,109</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1,856,824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1,110,813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2,967,637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8"/>
              </w:rPr>
              <w:t>Revolving Credit</w:t>
            </w:r>
          </w:p>
        </w:tc>
        <w:tc>
          <w:tcPr>
            <w:tcW w:w="202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SRTF Revolving Credit</w:t>
            </w:r>
          </w:p>
        </w:tc>
        <w:tc>
          <w:tcPr>
            <w:tcW w:w="220" w:type="dxa"/>
            <w:vAlign w:val="bottom"/>
          </w:tcPr>
          <w:p>
            <w:pPr>
              <w:spacing w:after="0"/>
              <w:rPr>
                <w:sz w:val="14"/>
                <w:szCs w:val="14"/>
                <w:color w:val="auto"/>
              </w:rPr>
            </w:pPr>
          </w:p>
        </w:tc>
        <w:tc>
          <w:tcPr>
            <w:tcW w:w="1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40" w:type="dxa"/>
            <w:vAlign w:val="bottom"/>
          </w:tcPr>
          <w:p>
            <w:pPr>
              <w:spacing w:after="0"/>
              <w:rPr>
                <w:sz w:val="21"/>
                <w:szCs w:val="21"/>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268,109</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1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24,021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336,159</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2"/>
        </w:trPr>
        <w:tc>
          <w:tcPr>
            <w:tcW w:w="9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the following commitments to fund various investments: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83"/>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24"/>
                <w:szCs w:val="24"/>
                <w:color w:val="auto"/>
              </w:rPr>
            </w:pPr>
          </w:p>
        </w:tc>
        <w:tc>
          <w:tcPr>
            <w:tcW w:w="18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7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commitments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397,086,697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420,707,524</w:t>
            </w:r>
          </w:p>
        </w:tc>
      </w:tr>
      <w:tr>
        <w:trPr>
          <w:trHeight w:val="23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drawn commitments</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(299,181,328)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(305,440,623)</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97,905,369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115,266,901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March 31, 2026, the Company was not aware of any legal claims that could materially impact its business, financial condition or results of operations.</w:t>
      </w:r>
    </w:p>
    <w:p>
      <w:pPr>
        <w:spacing w:after="0" w:line="149" w:lineRule="exact"/>
        <w:rPr>
          <w:sz w:val="20"/>
          <w:szCs w:val="20"/>
          <w:color w:val="auto"/>
        </w:rPr>
      </w:pPr>
    </w:p>
    <w:p>
      <w:pPr>
        <w:ind w:right="8600" w:firstLine="8"/>
        <w:spacing w:after="0" w:line="456"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Preferred Stock</w:t>
      </w: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and 2025, the Company was authorized to issue up to 10,000 shares of Preferred Stock, par value $0.01 per share (the “Preferred Stock”), respectively, of which none have been issued. The Board of Directors has the authority, without action by our shareholders, to issue up to 10,000 shares of Preferred Stock in one or more series or classes and to designate the rights, preferences and privileges of each series or class, which may be greater than the rights of Common Stock. There were no shares of Preferred Stock designated or outstanding as of March 31, 2026 and December 31, 2025,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was authorized to issue up to 50,000,000 shares of Common Stock, respectively, and issued 13,519,655 and 13,420,986 shares of Common Stock,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the Company filed a shelf registration statement on Form S-3 (File No. 333-289188) (the “Shelf Registration Statement”), which was declared effective on August 6, 2025. Under the Shelf Registration Statement, the Company may, from time to time, issue and sell up to $500.0 million of the Company’s common stock, preferred stock, debt securities, warrants and rights (including as part of a unit) to purchase shares of the Company’s common stock or preferred stock.</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2025, the Company completed a registered public offering of common stock at a public offering price of $12.00 per share (the “January 2025 Offering”), including a partial exercise of the underwriters’ over-allotment option. In aggregate, the Company issued 6,400,000 shares and received total net proceeds of approximately $70.8 million after underwriting discounts and offering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 (“ATM Program”)</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13, 2025, the Company entered into an Equity Distribution Agreement (the “Equity Distribution Agreement”) by and among the Company, SUNS Manager and Raymond James &amp; Associates, Inc. (the “Sales Agent”) under which the Company may, from time to time, offer and sell shares of common stock, having an aggregate offering price of up to $50.0 million. Under the terms of the Equity Distribution Agreement, the Company has agreed to pay the Sales Agents a commission of up to 2.0% of the gross sales price of common stock sold through the Sales Agents. Sales of common stock, if any, may be made in transactions that are deemed to be “at-the-market” offerings, as defined in Rule 415(a)(4) promulgated under the Securities Act of 1933, as amended (the “Securities Act”). There were no shares issued under the ATM Program during the three months ended March 31, 2026.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2025, the Company established a dividend reinvestment plan (“DRIP”). The DRIP allows shareholders to reinvest all or a portion of their cash dividends in additional shares of the Company’s common stock (which shares, at the Company’s option, are either newly issued directly from the Company or purchased by the plan administrator in the open market). The Company may issue up to 1,000,000 shares of common stock under the DRIP. There were no shares issued under the DRIP during the three months ended March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2024 Stock Incentive Plan (the “2024 Plan”), which provides for the grant of stock options, stock appreciation rights, restricted stock, stock bonuses, stock units and other forms of awards granted or denominated in the Company’s Common Stock or units of Common Stock. The 2024 Plan is intended to provide flexibility to offer competitive incentives and to tailor benefits to specific needs and circumstances. Any award may be structured to be paid or settled in cash.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Company’s Board of Directors approved grants of restricted stock to the Company’s directors and certain officers, as well as certain employees of the Manager or its affiliates, with an aggregate of 98,669 shares of restricted stock granted to such eligible persons. The restricted stock awards granted during the three months ended March 31, 2026 under the 2024 Plan contain vesting periods that vary from immediately, vesting over a one-year period, and vesting over a three-year period, with approximately 33% vesting on each of the first, second and third anniversaries of the vesting commencement date.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Company’s Board of Directors approved grants of restricted stock to the Company’s directors and certain officers, as well as certain employees of the Manager or its affiliates, with an aggregate of 19,625 shares of restricted stock granted to such eligible persons. The restricted stock awards granted in February 2025 under the 2024 Plan vest over a three-year period, with approximately 33% vesting on each of the first, second and third anniversaries of the vesting commencement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230,623 shares of restricted stock granted under the 2024 Plan.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maximum number of shares of the Company’s Common Stock that may be delivered pursuant to awards under the 2024 Plan (the “Share Limit”) equaled 1,191,122 shares, of which 960,499 shares remained available for future issuance under the 2024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incurred by the Company for the three months ended March 31, 2026 and 2025:</w:t>
      </w:r>
    </w:p>
    <w:p>
      <w:pPr>
        <w:spacing w:after="0" w:line="235"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 w:lineRule="exact"/>
        <w:rPr>
          <w:sz w:val="20"/>
          <w:szCs w:val="20"/>
          <w:color w:val="auto"/>
        </w:rPr>
      </w:pPr>
    </w:p>
    <w:p>
      <w:pPr>
        <w:ind w:left="7920"/>
        <w:spacing w:after="0"/>
        <w:tabs>
          <w:tab w:leader="none" w:pos="100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28575</wp:posOffset>
            </wp:positionV>
            <wp:extent cx="2631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0" w:lineRule="exact"/>
        <w:rPr>
          <w:sz w:val="20"/>
          <w:szCs w:val="20"/>
          <w:color w:val="auto"/>
        </w:rPr>
      </w:pPr>
    </w:p>
    <w:p>
      <w:pPr>
        <w:ind w:left="20"/>
        <w:spacing w:after="0"/>
        <w:tabs>
          <w:tab w:leader="none" w:pos="7100" w:val="left"/>
          <w:tab w:leader="none" w:pos="8440" w:val="left"/>
          <w:tab w:leader="none" w:pos="9220" w:val="left"/>
          <w:tab w:leader="none" w:pos="10560" w:val="left"/>
        </w:tabs>
        <w:rPr>
          <w:sz w:val="20"/>
          <w:szCs w:val="20"/>
          <w:color w:val="auto"/>
        </w:rPr>
      </w:pPr>
      <w:r>
        <w:rPr>
          <w:rFonts w:ascii="Times New Roman" w:cs="Times New Roman" w:eastAsia="Times New Roman" w:hAnsi="Times New Roman"/>
          <w:sz w:val="18"/>
          <w:szCs w:val="18"/>
          <w:color w:val="auto"/>
        </w:rPr>
        <w:t>Stock-based compensation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369,962</w:t>
        <w:tab/>
        <w:t>$</w:t>
      </w:r>
      <w:r>
        <w:rPr>
          <w:sz w:val="20"/>
          <w:szCs w:val="20"/>
          <w:color w:val="auto"/>
        </w:rPr>
        <w:tab/>
      </w:r>
      <w:r>
        <w:rPr>
          <w:rFonts w:ascii="Times New Roman" w:cs="Times New Roman" w:eastAsia="Times New Roman" w:hAnsi="Times New Roman"/>
          <w:sz w:val="17"/>
          <w:szCs w:val="17"/>
          <w:color w:val="auto"/>
        </w:rPr>
        <w:t>243,621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(i) converted, (ii) granted, (iii) vested and (iv) forfeited for the Company’s directors and officers and employees of the Manager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25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192,077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restricted stock awards is based on the Company’s stock price on the date of grant. The following tables summarize the restricted stock activity as of and during the three months ended March 31, 2026: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00" w:type="dxa"/>
            <w:vAlign w:val="bottom"/>
          </w:tcPr>
          <w:p>
            <w:pPr>
              <w:spacing w:after="0"/>
              <w:rPr>
                <w:sz w:val="18"/>
                <w:szCs w:val="18"/>
                <w:color w:val="auto"/>
              </w:rPr>
            </w:pPr>
          </w:p>
        </w:tc>
        <w:tc>
          <w:tcPr>
            <w:tcW w:w="1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1"/>
        </w:trPr>
        <w:tc>
          <w:tcPr>
            <w:tcW w:w="6820" w:type="dxa"/>
            <w:vAlign w:val="bottom"/>
          </w:tcPr>
          <w:p>
            <w:pPr>
              <w:spacing w:after="0"/>
              <w:rPr>
                <w:sz w:val="20"/>
                <w:szCs w:val="20"/>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0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2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shares vested during the three months ended March 31, 2026 was approximately $0.5 million.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19,625 shares of restricted stock were granted with a weighted-average grant date fair value of $11.78. During the three months ended March 31, 2025, 34,671 shares of restricted stock vested with a weighted-average grant date fair value of $13.13. The total fair value of shares vested during the three months ended March 31, 2025 was approximately $0.5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$1.8 million of total unrecognized compensation cost related to non-vested restricted stock. That cost is expected to be recognized over a weighted-average period of 1.98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and diluted earnings per common share for the three months ended March 31, 2026 and 2025:</w:t>
      </w:r>
    </w:p>
    <w:p>
      <w:pPr>
        <w:spacing w:after="0" w:line="15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3,099,437</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paid on unvested restricted stock</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4,210,063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3,013,957</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Divided by:</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13,319,225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11,208,015</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13,325,211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11,221,016</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common share was computed using the treasury stock method for restricted stock. Diluted earnings per common share excluded 120,222 and 87,463 weighted average shares of unvested restricted stock due to anti-dilutive effect for the three months ended March 31, 2026 and 2025, respectively.</w:t>
      </w:r>
    </w:p>
    <w:p>
      <w:pPr>
        <w:spacing w:after="0" w:line="145"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commencing with the taxable year ending December 31, 2024. The Company believes that we have been organized in conformity with the requirements for qualification and taxation as a REIT under the U.S. federal income tax laws, and that our method of operation enables us to satisfy the requirements for qualification and taxation as a REIT under the U.S. federal income tax laws for such taxable year and thereafter.</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long as the Company qualifies for taxation as a REIT, the Company generally will not be subject to U.S. federal income tax on the portion of our taxable income or capital gain that is distributed to shareholders annually. The Company had no income tax provision for the three months ended March 31, 2026 and 2025.</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incurred no expense for U.S. federal excise tax. Excise tax represents a 4%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unrecognized tax benefits and the Company does not expect that to change in the next 12 months.</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instruments, whether or not recognized at fair value in the balance sheets, for which it is practicable to estimate that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carrying value and fair value of the Company’s financial instruments not recognized at fair value in the unaudited interim balance sheets as of March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March 31, 2026</w:t>
            </w:r>
          </w:p>
        </w:tc>
      </w:tr>
      <w:tr>
        <w:trPr>
          <w:trHeight w:val="250"/>
        </w:trPr>
        <w:tc>
          <w:tcPr>
            <w:tcW w:w="7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21"/>
                <w:szCs w:val="21"/>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5,658,839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5,658,839</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296,841,030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297,745,713</w:t>
            </w: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unconsolidated real estate joint venture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24,635,000</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have a carrying value which approximates their fair value due to the short-term nature of these instruments. The Company categorizes the fair value measurement of these assets as Level 1. The Company’s loans held for investment and its investment in unconsolidated real estate joint venture are measured using unobservable inputs, or Level 3 inputs.</w:t>
      </w:r>
    </w:p>
    <w:p>
      <w:pPr>
        <w:spacing w:after="0" w:line="131" w:lineRule="exact"/>
        <w:rPr>
          <w:sz w:val="20"/>
          <w:szCs w:val="20"/>
          <w:color w:val="auto"/>
        </w:rPr>
      </w:pPr>
    </w:p>
    <w:p>
      <w:pPr>
        <w:ind w:right="7860" w:firstLine="8"/>
        <w:spacing w:after="0" w:line="491" w:lineRule="auto"/>
        <w:tabs>
          <w:tab w:leader="none" w:pos="40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Management Agreement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2024, the Company entered into a management agreement (the “Management Agreement”) with SUNS Manager, effective upon the listing of the Company’s common stock. Following the listing of the Company’s Common Stock on July 9, 2024, the Company became managed by its Board of Directors and executive officers and by SUNS Manager, pursuant to the Management Agreement.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Company’s investment activities and day-to-day operations, subject at all times to the further terms and conditions set forth in the Management Agreement and such further limitations or parameters as may be imposed from time to time by the Board of Directors.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Manager receives base management fees (the “Base Management Fees”), calculated and payable quarterly in arrears, equal to 0.375% of the Company’s Equity (as defined in the Management Agreement), subject to certain adjustments, less 50% of the aggregate amount of any other fees (“Outside Fees”), including any agency fees relating to the Company’s loans, but excluding the Incentive Compensation (as defined below) and any diligence fees paid to and earned by the Manager and paid by third parties in connection with the Manager’s due diligence of potential loans.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 Management Fees incurred for the three months ended March 31, 2026 were approximately $0.7 million. There were no Base Management Fees incurred for the three months ended March 31, 2025. Refer to the fee waiver below.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Base Management Fees, the Manager is entitled to receive incentive compensation (the “Incentive Compensation” or “Incentive Fees”) with respect to each fiscal quarter (or portion thereof that the Management Agreement is in effect) based upon the Company’s achievement of targeted levels of Core Earnings. “Core Earnings” is defined in the Management Agreement as, for a given period, the net income (loss) for such period, computed in accordance with GAAP, excluding (i) non-cash equity compensation expense, (ii)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approval by a majority of the independent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Incentive Fees incurred for the three months ended March 31, 2026 were approximately $0.9 million. There were no Incentive Fees incurred for the three months ended March 31, 2025. Refer to the fee waiver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Waiver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Manager may waive fees it would otherwise be entitled to under the terms of the Management Agreement. The Manager agreed to waive (i) the inclusion of the net proceeds from the January 2025 Offering in the Company’s Equity for purposes of calculating the management fee until the earlier of (a) December 31, 2025 and (b) the quarter in which the total amount of the net proceeds of the January 2025 Offering have been utilized to fund loans in our portfolio and (ii) an additional $1.0 million in fees.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no Base Management Fees or Incentive Fees were waived. For the three months ended March 31, 2025, approximately $0.6 million of Base Management Fees and $0.3 million of Incentive Fees were waived.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SUNS Manager entered into the Administrative Services Agreement with TCG Services LLC, an affiliate of SUNS Manager. The Administrative Services Agreement sets forth the terms on which TCG Services LLC will provide SUNS certain administrative services, including providing personnel, office facilities, information technology and other equipment and legal, accounting, human resources, clerical, bookkeeping and record keeping services at such facilities as well as other services.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SUNS Manager entered into a Services Agreement with SRT Group LLC, an affiliate of SUNS Manager and certain officers. The Services Agreement sets forth the terms on which SRT Group LLC will provide SUNS the services of its investment personnel.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pay all of its allocable costs and expenses and reimburse the Manager or its affiliates for such expenses paid or incurred on behalf of the Company by the Manager or its affiliates, excepting only those expenses that are specifically the responsibility of the Manager pursuant to the Management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related party costs incurred by the Company for the three months ended March 31, 2026 and 2025:</w:t>
      </w:r>
    </w:p>
    <w:p>
      <w:pPr>
        <w:spacing w:after="0" w:line="235"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21590</wp:posOffset>
            </wp:positionV>
            <wp:extent cx="2631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costs</w:t>
            </w: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698,604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earned</w:t>
            </w:r>
          </w:p>
        </w:tc>
        <w:tc>
          <w:tcPr>
            <w:tcW w:w="1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612,241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612,565</w:t>
            </w: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fees reimbursable to Manager</w:t>
            </w:r>
          </w:p>
        </w:tc>
        <w:tc>
          <w:tcPr>
            <w:tcW w:w="1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81"/>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2,264,600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payable to the Manager as of March 31, 2026 and December 31, 2025 were approximately $2.3 million and $1.0 million, respectively, and are recorded within accrued management and incentive fees and accrued direct administrative expenses in the Company’s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Manager is beneficially owned by certain officers and directors as of the date of this Quarterly Report on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Loans and Unconsolidated Real Estate Joint Venture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the SUNS Manager or its affiliates,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SUNS Manager or its affiliates, including TCG RE Agent, may from time to time serve as administrative and collateral agents to the lenders under the loans in the Company’s portfolio. As of March 31, 2026, there were 15 co-invested loans held by the Company and affiliates of the Company.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in connection with the foreclosure of the San Antonio Loan, the Company formed a joint venture with an affiliate co-lender to acquire the underlying hotel property. The Company holds a 65.0% ownership interest in the joint venture. Refer to Note 6 for more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Revolving Credit Facility with Affiliate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an unsecured revolving credit facility with SRT Finance LLC, an affiliate of the Company. Refer to Note 7 for more information.</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DIVIDENDS AND 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three months ended March 31, 2026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 Common Share</w:t>
            </w:r>
          </w:p>
        </w:tc>
        <w:tc>
          <w:tcPr>
            <w:tcW w:w="120" w:type="dxa"/>
            <w:vAlign w:val="bottom"/>
          </w:tcPr>
          <w:p>
            <w:pPr>
              <w:spacing w:after="0"/>
              <w:rPr>
                <w:sz w:val="17"/>
                <w:szCs w:val="17"/>
                <w:color w:val="auto"/>
              </w:rPr>
            </w:pPr>
          </w:p>
        </w:tc>
        <w:tc>
          <w:tcPr>
            <w:tcW w:w="15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Distribution</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20" w:type="dxa"/>
            <w:vAlign w:val="bottom"/>
          </w:tcPr>
          <w:p>
            <w:pPr>
              <w:spacing w:after="0"/>
              <w:rPr>
                <w:sz w:val="15"/>
                <w:szCs w:val="15"/>
                <w:color w:val="auto"/>
              </w:rPr>
            </w:pPr>
          </w:p>
        </w:tc>
        <w:tc>
          <w:tcPr>
            <w:tcW w:w="15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3/4/2025</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4/15/2025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4,026,448</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 Period Subtotal</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4,026,448</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Regular cash dividend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3/10/2026</w:t>
            </w:r>
          </w:p>
        </w:tc>
        <w:tc>
          <w:tcPr>
            <w:tcW w:w="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3/31/2026</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4/15/2026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4,055,897</w:t>
            </w:r>
          </w:p>
        </w:tc>
        <w:tc>
          <w:tcPr>
            <w:tcW w:w="0" w:type="dxa"/>
            <w:vAlign w:val="bottom"/>
          </w:tcPr>
          <w:p>
            <w:pPr>
              <w:spacing w:after="0"/>
              <w:rPr>
                <w:sz w:val="1"/>
                <w:szCs w:val="1"/>
                <w:color w:val="auto"/>
              </w:rPr>
            </w:pPr>
          </w:p>
        </w:tc>
      </w:tr>
      <w:tr>
        <w:trPr>
          <w:trHeight w:val="25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 Period Subtotal</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4,055,897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financial and descriptive information about an enterprise’s reportable segments. The Company is an institutional lender that provides debt capital solutions to CRE markets in the Southern United States, with a primary focus on opportunities in Arizona, Florida, Georgia, Nevada, North Carolina, South Carolina, Tennessee and Texas. The Company generates revenue from originating and investing in secured CRE loans and providing capital to high-quality borrowers and sponsors with transitional business plans collateralized by CRE assets with opportunities for near-term value creation, as well as recapitalization opportunities. The accounting policies of the institutional lending segment are the same as those described in the summary of significant accounting policies.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financial results as one reportable segment is consistent with the way the Company operates its business and is consistent with the manner in which the Company’s Chief Operating Decision Maker (“CODM”), the Company’s Chief Executive Officer, evaluates performance and makes resource and operating decisions for the business. The Company has no operations outside of the United States. The Company’s portfolio exhibits similar economic characteristics, similar yields and is operated using consistent business strategies. The Company operates as one operating segment and has one reportable operating segment for activities related to institutional lending.</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assesses performance and evaluates the allocation of resources of the Company on a consolidated basis, based on the Company’s net income, which is reported on the Company’s consolidated statements of operations. The CODM is regularly provided with only the consolidated expenses, as noted on the consolidated statement of operations. Significant segment expenses are listed on the accompanying consolidated statement of operations. The measure of segment assets is reported on the consolidated balance sheets as total assets.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and in deciding the amount of dividends to be distributed, as well as using net income as a basis for evaluating lender terms for CRE loans with borrowers and sponsors.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earned on the Company’s portfolio was concentrated with two borrowers each comprising more than 10% of consolidated interest income for an aggregate amount of $4.0 million, or 39%, of consolidated interest income during the three months ended March 31, 2026. Interest income earned on the Company’s portfolio was concentrated with five borrowers each comprising more than 10% of consolidated interest income for an aggregate amount of $4.0 million, or 81%, of consolidated interest income during the three months ended March 31, 2025.</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consolidated financial statements were available to be issued. There were no material subsequent events, other than those described below, that required disclosure in these unaudited interim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1, 2026, the Company’s senior loan for a residential property in Austin, TX was repaid in full. The outstanding principal balance of the senior secured term loan on the date of repayment was approximately $14.1 million.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filed by Sunrise Realty Trust, Inc. (the “Company,” “SUNS,” “we,” “us,” and “our”), and the information incorporated by reference herein, or made in other reports, filings with the SEC, and press releases contain “forward-looking statements” within the meaning of the Private Securities Litigation Reform Act of 1995, Section 27A of the Securities Act of 1933, as amended, and Section 21E of the Securities Exchange Act of 1934, as amended, and we intend such statements to be covered by the safe harbor provisions contained therein. These forward-looking statements are based on our current intent, belief, expectations and views of future events. The forward-looking statements include, without limitation, any statement that may predict, forecast, indicate or imply future results or performance, and may contain the words “believe,” “anticipate,” “expect,” “estimate,” “project,” “could,” “would,” “will,” “can,” “continuing,” “may,” “aim,” “intend,” “ongoing,” “plan,” “predict,” “potential,” “should,” “seeks,” “likely to” or words or phrases of similar meaning. Specifically, this Quarterly Report includes forward-looking statements regarding (i) our portfolio and strategies for the growth of our commercial real estate lending business; (ii) our working capital, liquidity and capital requirements; (iii) potential state and federal legislative and regulatory matters; (iv) our expectations and estimates regarding certain tax, legal and accounting matters, including the impact on our financial statements and/or those of our borrowers; (v) the amount, collectability and timing of cash flows, if any, from our loans; (vi) our expected ranges of originations and repayments; (vii) estimates relating to our ability to make distributions to our shareholders in the future; and (viii) our investment strategy.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management’s current views about future events, and are subject to risks, uncertainties and assumptions. Our actual results may differ materially from the future results and events expressed or implied by the forward-looking statements. Key factors that could prevent us from achieving our goals, and cause the assumptions underlying forward-looking statements and the actual results to differ materially from those expressed in or implied by those forward-looking statements include, but are not limited to, the following:</w:t>
      </w:r>
    </w:p>
    <w:p>
      <w:pPr>
        <w:spacing w:after="0" w:line="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 successful business and investment strategy and execute on our strategy;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and to monitor and actively manage our portfolio and implement our investment strategy;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expected ranges of originations and repayments;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our target mix of loan and collateral types with our expected ranges of yields;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 and our ability to close those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 our industry and in the commercial finance and commercial real estate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history of operating as an independent company, and our historical financial information is not necessarily representative of the results that we would have achieved as a separate, publicly traded company and may not be a reliable indicator of our future results;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the specific geographic regions in which we operate, including as a result of the impact of natural disasters;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collectability and timing of our cash flows, if any, from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competitive financing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expected leverage;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that may be exacerbated due to the concentration of our portfolio in a limited number of loans and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underwriting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default or recovery rates on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hedging strategies may or may not protect us from interest rate volatility;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investment opportunities in mortgage-related and real estate-related instruments and other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tariffs and similar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changing interest rate and inflation environment on our results of operations, cash flows and the market value of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registration under the Investment Company Act of 1940 (the “Investment Company 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(a “REIT”) for U.S. federal income tax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shareholders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shares of preferred or common stock in the future, which could dilute your percentage ownership of SUNS;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of our securities offerings;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litigation, including costs associated with prosecuting or defending claims and any adverse outcomes.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list of factors is not exhaustive or necessarily in order of importance.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in our Annual Report on Form 10-K, filed with the SEC on March 12, 2026, for a further discussion of these and other risks and uncertainties which could affect our future results. These forward-looking statements apply only as of the date of this report and we undertake no obligation to update or revise any forward-looking statements to reflect events or circumstances after the date of such statements or to reflect the occurrence of anticipated or unanticipated events, except as required by applicable law.</w:t>
      </w:r>
    </w:p>
    <w:p>
      <w:pPr>
        <w:spacing w:after="0" w:line="1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accompanying notes and other information included in this Quarterly Report on Form 10-Q (the “Quarterly Report”).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“Cautionary Note Regarding Forward-Looking Statements,” in this Form 10-Q, “Risk Factors” in our Annual Report on Form 10-K for the year ended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SUNS is a Maryland corporation that was formed on August 28, 2023 and that made its first investment in January 2024. We are a real estate focused debt fund, actively pursuing opportunities to finance transitional commercial real estate projects located across the Southern U.S. We are an integral part of the platform of affiliated asset managers under the Tannenbaum Capital Group (“TCG”).</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investment focus includes originating or acquiring loans backed by single assets or portfolios of assets that typically have (i) an investment hold size of approximately $15-100 million, secured by CRE assets, including transitional or construction projects, across diverse property types, (ii) a duration of approximately 2-5 years, (iii) interest rates that are determined periodically on the basis of a floating base lending rate (e.g., Secured Overnight Financing Rate (“SOFR”)) plus a credit spread, (iv) a loan-to-value (“LTV”) ratio of no greater than approximately 75% on an individual investment basis and (v) no more than approximately 75% LTV across the portfolio, in each case, at the time of origination or acquisition, and are led by experienced borrowers and well-capitalized sponsors with high quality business plans. Our loans typically feature origination fees and/or exit fees. We target a portfolio net internal rate of return (“IRR”) in the low-teens, which we believe may increase to the mid-teens after including total interest and other revenue from the portfolio, including loans funded from drawing on our leverage, net of our interest expense from our portfolio lenders. We are also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targeting a near to mid-term target capitalization of one-third equity, one-third secured debt availability and one-third unsecured debt. We do not expect to be fully drawn on our secured debt availability and, as a result, we are targeting an expected leverage ratio of 1.5:1 debt-to-equity.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externally managed Maryland corporation and elected to be taxed as a REIT under Section 856 of the Internal Revenue Code of 1986, as amended (the “Code”), commencing with our taxable year ended December 31, 2024. We believe our organization and current and proposed method of operation will enable us to qualify as a REIT. However, no assurances can be given that our beliefs or expectations will be fulfilled, since qualification as a REIT depends on our continuing to satisfy numerous asset, income, distribution and other tests, which in turn depends, in part, on our operating results and ability to obtain financing. We also intend to operate our business in a manner that will permit us to maintain our exemption from registration under the Investment Company Act.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and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provides that an “emerging growth company” can take advantage of the extended transition period provided in Section 7(a)(2)</w:t>
      </w:r>
    </w:p>
    <w:p>
      <w:pPr>
        <w:spacing w:after="0" w:line="5" w:lineRule="exact"/>
        <w:rPr>
          <w:sz w:val="20"/>
          <w:szCs w:val="20"/>
          <w:color w:val="auto"/>
        </w:rPr>
      </w:pPr>
    </w:p>
    <w:p>
      <w:pPr>
        <w:jc w:val="both"/>
        <w:ind w:firstLine="8"/>
        <w:spacing w:after="0" w:line="253" w:lineRule="auto"/>
        <w:tabs>
          <w:tab w:leader="none" w:pos="2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As a result,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the following: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First Quarter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First Quarter March 31, 2026</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we and an affiliated co-investor entered into and exited a $21.6 million senior bridge loan to finance the acquisition of a ranch located in Colorado. We committed a total of $14.0 million, and an affiliated co-investor committed the remaining $7.6 million, funding $14.0 million and $7.6 million, respectively, upon closing. The senior bridge loan was issued at a discount of 3.0% and matures in July 2026. The senior bridge loan was fully paid off four days after closing in January 2026.</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we and an affiliated co-investor entered into a $69.3 million subordinate B-note secured by a portfolio of 15 hotel properties. We committed approximately $48.3 million, and an affiliated co-investor committed the remaining $21.0 million, funding $45.3 million and $19.7 million, respectively, upon closing. The financing also included approximately $336.7 million of Senior A-note debt held by an unaffiliated third party and will refinance existing indebtedness on the properties. The loan bears interest at a rate of SOFR plus 8.25%, with a rate index floor of 3.00%. The subordinate B-note is secured by a first mortgage (and lease-hold mortgage on two properties) and related collateral interests pursuant to the terms of the credit agreement and related loan documents. The proceeds of the loan will be used to refinance existing debt, provides an “earn out” and stabilizes the assets.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2026, we and the affiliate co-lender on our senior hospitality loan in San Antonio, Texas (the “San Antonio Loan”) San Antonio loan, formed 123 Lex Ave Holdings LLC (the “Lex Ave JV”). In connection with the formation of the Lex Ave JV, the underlying hotel property securing the loan was acquired through a credit bid equal to the aggregate unpaid principal balance of approximately $40.6 million. Upon foreclosure, legal title to the property was obtained by the lenders and was contemporaneously contributed to the Lex Ave JV. Following the contribution, we hold a 65.0% ownership interest in the Lex Ave JV. As a result of these transactions, we derecognized the San Antonio loan from its consolidated balance sheet.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2026, our secured mortgage loan for a class A multi-family residential development in Dallas, Texas was repaid in full. The outstanding principal on the date of repayment was approximately $45.0 million. We received and recognized approximately $1.2 million relating to the repayment premium.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we declared the following cash dividends: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Payable to Shareholders of</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Date Declared</w:t>
            </w:r>
          </w:p>
        </w:tc>
        <w:tc>
          <w:tcPr>
            <w:tcW w:w="27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Record at the Close of Business</w:t>
            </w:r>
          </w:p>
        </w:tc>
        <w:tc>
          <w:tcPr>
            <w:tcW w:w="1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00" w:type="dxa"/>
            <w:vAlign w:val="bottom"/>
          </w:tcPr>
          <w:p>
            <w:pPr>
              <w:spacing w:after="0"/>
              <w:rPr>
                <w:sz w:val="15"/>
                <w:szCs w:val="15"/>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300" w:type="dxa"/>
            <w:vAlign w:val="bottom"/>
          </w:tcPr>
          <w:p>
            <w:pPr>
              <w:spacing w:after="0"/>
              <w:rPr>
                <w:sz w:val="15"/>
                <w:szCs w:val="15"/>
                <w:color w:val="auto"/>
              </w:rPr>
            </w:pPr>
          </w:p>
        </w:tc>
        <w:tc>
          <w:tcPr>
            <w:tcW w:w="17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0" w:type="dxa"/>
            <w:vAlign w:val="bottom"/>
          </w:tcPr>
          <w:p>
            <w:pPr>
              <w:spacing w:after="0"/>
              <w:rPr>
                <w:sz w:val="1"/>
                <w:szCs w:val="1"/>
                <w:color w:val="auto"/>
              </w:rPr>
            </w:pPr>
          </w:p>
        </w:tc>
      </w:tr>
      <w:tr>
        <w:trPr>
          <w:trHeight w:val="243"/>
        </w:trPr>
        <w:tc>
          <w:tcPr>
            <w:tcW w:w="2440" w:type="dxa"/>
            <w:vAlign w:val="bottom"/>
            <w:gridSpan w:val="2"/>
            <w:vMerge w:val="continue"/>
          </w:tcPr>
          <w:p>
            <w:pPr>
              <w:spacing w:after="0"/>
              <w:rPr>
                <w:sz w:val="21"/>
                <w:szCs w:val="21"/>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1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4, 2025</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April 15, 2025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4,026,448</w:t>
            </w:r>
          </w:p>
        </w:tc>
        <w:tc>
          <w:tcPr>
            <w:tcW w:w="0" w:type="dxa"/>
            <w:vAlign w:val="bottom"/>
          </w:tcPr>
          <w:p>
            <w:pPr>
              <w:spacing w:after="0"/>
              <w:rPr>
                <w:sz w:val="1"/>
                <w:szCs w:val="1"/>
                <w:color w:val="auto"/>
              </w:rPr>
            </w:pPr>
          </w:p>
        </w:tc>
      </w:tr>
      <w:tr>
        <w:trPr>
          <w:trHeight w:val="25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 Period Subtotal</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4,026,448</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10, 2026</w:t>
            </w:r>
          </w:p>
        </w:tc>
        <w:tc>
          <w:tcPr>
            <w:tcW w:w="2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2026</w:t>
            </w:r>
          </w:p>
        </w:tc>
        <w:tc>
          <w:tcPr>
            <w:tcW w:w="1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April 15, 2026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4,055,897</w:t>
            </w:r>
          </w:p>
        </w:tc>
        <w:tc>
          <w:tcPr>
            <w:tcW w:w="0" w:type="dxa"/>
            <w:vAlign w:val="bottom"/>
          </w:tcPr>
          <w:p>
            <w:pPr>
              <w:spacing w:after="0"/>
              <w:rPr>
                <w:sz w:val="1"/>
                <w:szCs w:val="1"/>
                <w:color w:val="auto"/>
              </w:rPr>
            </w:pPr>
          </w:p>
        </w:tc>
      </w:tr>
      <w:tr>
        <w:trPr>
          <w:trHeight w:val="25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2026 Period Subtotal</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4,055,897</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2026, our senior loan for a residential property in Austin, TX was repaid in full. The outstanding principal balance of the senior secured term loan on the date of repayment was approximately $14.1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commercial real estate finance company, we believe the key financial measures and indicators for our business are Distributable Earnings (as defined below),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Value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book value per share is helpful to shareholders in evaluating our growth as we scale our equity capital base and continue to invest in our target investments. The book value per share of our Common Stock as of March 31, 2026 and December 31, 2025 was approximately $13.50 and $13.56,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Metrics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We use these non-GAAP financial measures both to explain our results to shareholders and the investment community and in the internal evaluation and management of our businesses. Our management believes that these non-GAAP financial measures and the information they provide are useful to investors since these measures permit investors and shareholders to assess the overall performance of our business using the same tools that our management uses to evaluate our past performance and prospects for future performance. 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Thus, Core Earnings is calculated without giving effect to Incentive Compensation expense, while the calculation of Distributable Earnings accounts for any Incentive Compensation earned for such time period.</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(reversal of) current expected credit losses, (v)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on a supplemental basis to our net income as determined in accordance with GAAP is helpful to shareholders in assessing the overall performance of our business. As a REIT, we are required to 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of Directors. Distributable Earnings is one of many factors considered by our Board of Directors in authorizing dividends and, while not a direct measure of net taxable income, over time, the measure can be considered a useful indicator of our dividends.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w:t>
      </w:r>
    </w:p>
    <w:p>
      <w:pPr>
        <w:spacing w:after="0" w:line="227"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4,253,350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3,099,437</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243,621</w:t>
            </w: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or other non-cash items</w:t>
            </w:r>
          </w:p>
        </w:tc>
        <w:tc>
          <w:tcPr>
            <w:tcW w:w="4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117,648</w:t>
            </w: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TRS (income) loss</w:t>
            </w:r>
          </w:p>
        </w:tc>
        <w:tc>
          <w:tcPr>
            <w:tcW w:w="4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One-time events pursuant to changes in GAAP and certain non-cash charges</w:t>
            </w:r>
          </w:p>
        </w:tc>
        <w:tc>
          <w:tcPr>
            <w:tcW w:w="460" w:type="dxa"/>
            <w:vAlign w:val="bottom"/>
          </w:tcPr>
          <w:p>
            <w:pPr>
              <w:spacing w:after="0"/>
              <w:rPr>
                <w:sz w:val="23"/>
                <w:szCs w:val="2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4,683,595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3,460,706</w:t>
            </w: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13,319,225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11,208,015</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 per basic weighted average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margin, the market value of our assets and the supply of, and demand for, commercial real estate debt and other financial assets in the marketplace. Our net interest margin,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our borrowers.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and 2025</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1"/>
        </w:trPr>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March 31, 2026 and 2025:</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3"/>
        </w:trPr>
        <w:tc>
          <w:tcPr>
            <w:tcW w:w="7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r>
      <w:tr>
        <w:trPr>
          <w:trHeight w:val="223"/>
        </w:trPr>
        <w:tc>
          <w:tcPr>
            <w:tcW w:w="7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10,272,686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4,958,523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(2,967,637)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(336,159)</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7,305,049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4,622,364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1,635,136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743,099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753,126</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369,962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243,621</w:t>
            </w:r>
          </w:p>
        </w:tc>
      </w:tr>
      <w:tr>
        <w:trPr>
          <w:trHeight w:val="2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408,532</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2,991,416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1,405,279</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(117,648)</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4,253,350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3,099,437</w:t>
            </w:r>
          </w:p>
        </w:tc>
      </w:tr>
      <w:tr>
        <w:trPr>
          <w:trHeight w:val="21"/>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Our net income allocable to our common shareholders for the three months ended March 31, 2026, was approximately $4.3 million, or $0.32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basic weighted average common share, compared to net income allocable to our common shareholders of approximately $3.1 million, or $0.27 per basic weighted average common share for the three months ended March 31, 2025.</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approximately $5.3 million, or 107.2%, for the three months ended March 31, 2026,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The increase reflects a higher average investment balance driven by increased capital deployment. In addition, the Company recognized approximately $1.2 million of repayment premium income related to the early repayment of a $45.0 million secured mortgage loan in March 2026.</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approximately $2.6 million for the three months ended March 31, 2026, compared to the same period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increased utilization of the Company’s lines of credit to support portfolio growth.</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Management and incentive fees. </w:t>
      </w:r>
      <w:r>
        <w:rPr>
          <w:rFonts w:ascii="Times New Roman" w:cs="Times New Roman" w:eastAsia="Times New Roman" w:hAnsi="Times New Roman"/>
          <w:sz w:val="18"/>
          <w:szCs w:val="18"/>
          <w:color w:val="auto"/>
        </w:rPr>
        <w:t>Management and incentive fees increased approximately $1.6 million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2025. Base Management Fees incurred for the three months ended March 31, 2026 were approximately $0.7 million. Incentive Fees incurred for the three months ended March 31, 2026 were approximately $0.9 million. For the three months ended March 31, 2025, approximately $0.6 million of Base Management Fees and $0.3 million of Incentive Fees were waived.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decreased $(0.2) million during the three months ended March 31, 2026, as compared to the same period in 2025.</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current expected credit losses. </w:t>
      </w:r>
      <w:r>
        <w:rPr>
          <w:rFonts w:ascii="Times New Roman" w:cs="Times New Roman" w:eastAsia="Times New Roman" w:hAnsi="Times New Roman"/>
          <w:sz w:val="18"/>
          <w:szCs w:val="18"/>
          <w:color w:val="auto"/>
        </w:rPr>
        <w:t>The provision for current expected credit losses for the three months ended March 31, 2026 was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 million. The CECL Reserve balance as of March 31, 2026 was approximately $0.6 million, or 0.19%, of our total loans held at carrying value of approximately $296.8 million and was bifurcated between (i) the current expected credit loss reserve (contra-asset) related to outstanding balances on loans held at carrying value of $0.3 million and (ii) a liability for unfunded commitments of approximately $0.2 million.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when determining the amount to allocate to its CECL Reserve. We continuously evaluate the credit quality of each loan by assessing the risk factors of each loan.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total loan portfolio as of March 31, 2026, unless otherwise specified.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Original Funding</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3"/>
              </w:rPr>
              <w:t>Principal Balance</w:t>
            </w:r>
          </w:p>
        </w:tc>
        <w:tc>
          <w:tcPr>
            <w:tcW w:w="72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6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Fixed/</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2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Loan Maturity</w:t>
            </w:r>
          </w:p>
        </w:tc>
        <w:tc>
          <w:tcPr>
            <w:tcW w:w="11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Commitments as of</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PIK</w:t>
            </w:r>
          </w:p>
        </w:tc>
        <w:tc>
          <w:tcPr>
            <w:tcW w:w="780" w:type="dxa"/>
            <w:vAlign w:val="bottom"/>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YTM</w:t>
            </w:r>
            <w:r>
              <w:rPr>
                <w:rFonts w:ascii="Times New Roman" w:cs="Times New Roman" w:eastAsia="Times New Roman" w:hAnsi="Times New Roman"/>
                <w:sz w:val="16"/>
                <w:szCs w:val="16"/>
                <w:b w:val="1"/>
                <w:bCs w:val="1"/>
                <w:color w:val="auto"/>
                <w:w w:val="93"/>
                <w:vertAlign w:val="superscript"/>
              </w:rPr>
              <w:t>(1)</w:t>
            </w:r>
          </w:p>
        </w:tc>
        <w:tc>
          <w:tcPr>
            <w:tcW w:w="0" w:type="dxa"/>
            <w:vAlign w:val="bottom"/>
          </w:tcPr>
          <w:p>
            <w:pPr>
              <w:spacing w:after="0"/>
              <w:rPr>
                <w:sz w:val="1"/>
                <w:szCs w:val="1"/>
                <w:color w:val="auto"/>
              </w:rPr>
            </w:pPr>
          </w:p>
        </w:tc>
      </w:tr>
      <w:tr>
        <w:trPr>
          <w:trHeight w:val="176"/>
        </w:trPr>
        <w:tc>
          <w:tcPr>
            <w:tcW w:w="9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03/31/2026</w:t>
            </w: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as of 03/31/2026</w:t>
            </w: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66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Floating</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During Term</w:t>
            </w:r>
          </w:p>
        </w:tc>
        <w:tc>
          <w:tcPr>
            <w:tcW w:w="6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Senior mortgage loans: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60" w:type="dxa"/>
            <w:vAlign w:val="bottom"/>
            <w:tcBorders>
              <w:right w:val="single" w:sz="8" w:color="auto"/>
            </w:tcBorders>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7/3/2024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7/3/2027</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14,087,288</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14,087,288</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9.8%</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6"/>
        </w:trPr>
        <w:tc>
          <w:tcPr>
            <w:tcW w:w="980" w:type="dxa"/>
            <w:vAlign w:val="bottom"/>
            <w:shd w:val="clear" w:color="auto" w:fill="CCEEFF"/>
          </w:tcPr>
          <w:p>
            <w:pPr>
              <w:spacing w:after="0"/>
              <w:rPr>
                <w:sz w:val="11"/>
                <w:szCs w:val="11"/>
                <w:color w:val="auto"/>
              </w:rPr>
            </w:pPr>
          </w:p>
        </w:tc>
        <w:tc>
          <w:tcPr>
            <w:tcW w:w="100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Palm Beach</w:t>
            </w:r>
          </w:p>
        </w:tc>
        <w:tc>
          <w:tcPr>
            <w:tcW w:w="2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(2)</w:t>
            </w: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6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Gardens, FL</w:t>
            </w:r>
          </w:p>
        </w:tc>
        <w:tc>
          <w:tcPr>
            <w:tcW w:w="280" w:type="dxa"/>
            <w:vAlign w:val="bottom"/>
            <w:vMerge w:val="continue"/>
            <w:shd w:val="clear" w:color="auto" w:fill="CCEEFF"/>
          </w:tcPr>
          <w:p>
            <w:pPr>
              <w:spacing w:after="0"/>
              <w:rPr>
                <w:sz w:val="7"/>
                <w:szCs w:val="7"/>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8/5/2024</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9/1/2027</w:t>
            </w:r>
          </w:p>
        </w:tc>
        <w:tc>
          <w:tcPr>
            <w:tcW w:w="20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31,875,000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28,637,600</w:t>
            </w:r>
          </w:p>
        </w:tc>
        <w:tc>
          <w:tcPr>
            <w:tcW w:w="72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12.3%</w:t>
            </w: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98"/>
        </w:trPr>
        <w:tc>
          <w:tcPr>
            <w:tcW w:w="98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spacing w:after="0"/>
              <w:rPr>
                <w:sz w:val="11"/>
                <w:szCs w:val="11"/>
                <w:color w:val="auto"/>
              </w:rPr>
            </w:pPr>
          </w:p>
        </w:tc>
        <w:tc>
          <w:tcPr>
            <w:tcW w:w="10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Palm Beach</w:t>
            </w:r>
          </w:p>
        </w:tc>
        <w:tc>
          <w:tcPr>
            <w:tcW w:w="28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rPr>
              <w:t>(2)</w:t>
            </w: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Gardens, FL</w:t>
            </w:r>
          </w:p>
        </w:tc>
        <w:tc>
          <w:tcPr>
            <w:tcW w:w="28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8/5/2024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9/1/2027</w:t>
            </w:r>
          </w:p>
        </w:tc>
        <w:tc>
          <w:tcPr>
            <w:tcW w:w="200" w:type="dxa"/>
            <w:vAlign w:val="bottom"/>
          </w:tcPr>
          <w:p>
            <w:pPr>
              <w:spacing w:after="0"/>
              <w:rPr>
                <w:sz w:val="7"/>
                <w:szCs w:val="7"/>
                <w:color w:val="auto"/>
              </w:rPr>
            </w:pPr>
          </w:p>
        </w:tc>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28,125,000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tcPr>
          <w:p>
            <w:pPr>
              <w:spacing w:after="0"/>
              <w:rPr>
                <w:sz w:val="7"/>
                <w:szCs w:val="7"/>
                <w:color w:val="auto"/>
              </w:rPr>
            </w:pPr>
          </w:p>
        </w:tc>
        <w:tc>
          <w:tcPr>
            <w:tcW w:w="10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25,114,339</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auto"/>
                <w:w w:val="95"/>
              </w:rPr>
              <w:t>10.3%</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89"/>
        </w:trPr>
        <w:tc>
          <w:tcPr>
            <w:tcW w:w="9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980" w:type="dxa"/>
            <w:vAlign w:val="bottom"/>
            <w:shd w:val="clear" w:color="auto" w:fill="CCEEFF"/>
          </w:tcPr>
          <w:p>
            <w:pPr>
              <w:spacing w:after="0"/>
              <w:rPr>
                <w:sz w:val="12"/>
                <w:szCs w:val="12"/>
                <w:color w:val="auto"/>
              </w:rPr>
            </w:pPr>
          </w:p>
        </w:tc>
        <w:tc>
          <w:tcPr>
            <w:tcW w:w="10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Fort Lauderdale,</w:t>
            </w:r>
          </w:p>
        </w:tc>
        <w:tc>
          <w:tcPr>
            <w:tcW w:w="2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(3)</w:t>
            </w: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w:t>
            </w:r>
          </w:p>
        </w:tc>
        <w:tc>
          <w:tcPr>
            <w:tcW w:w="280" w:type="dxa"/>
            <w:vAlign w:val="bottom"/>
            <w:vMerge w:val="continue"/>
            <w:shd w:val="clear" w:color="auto" w:fill="CCEEFF"/>
          </w:tcPr>
          <w:p>
            <w:pPr>
              <w:spacing w:after="0"/>
              <w:rPr>
                <w:sz w:val="7"/>
                <w:szCs w:val="7"/>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11/1/2024</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12/30/2026</w:t>
            </w:r>
          </w:p>
        </w:tc>
        <w:tc>
          <w:tcPr>
            <w:tcW w:w="20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30,000,000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16,672,674</w:t>
            </w:r>
          </w:p>
        </w:tc>
        <w:tc>
          <w:tcPr>
            <w:tcW w:w="72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11.5%</w:t>
            </w: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98"/>
        </w:trPr>
        <w:tc>
          <w:tcPr>
            <w:tcW w:w="98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Hospitality</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12/12/2024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12/11/2027</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32,000,000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32,000,000</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9.5%</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Aventura, FL</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1/27/2025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1/27/2027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30,750,872</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30,750,872</w:t>
            </w:r>
          </w:p>
        </w:tc>
        <w:tc>
          <w:tcPr>
            <w:tcW w:w="72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5"/>
              </w:rPr>
              <w:t>9.0%</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0"/>
        </w:trPr>
        <w:tc>
          <w:tcPr>
            <w:tcW w:w="9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Net Leased</w:t>
            </w:r>
          </w:p>
        </w:tc>
        <w:tc>
          <w:tcPr>
            <w:tcW w:w="1000" w:type="dxa"/>
            <w:vAlign w:val="bottom"/>
          </w:tcPr>
          <w:p>
            <w:pPr>
              <w:spacing w:after="0"/>
              <w:rPr>
                <w:sz w:val="11"/>
                <w:szCs w:val="11"/>
                <w:color w:val="auto"/>
              </w:rPr>
            </w:pPr>
          </w:p>
        </w:tc>
        <w:tc>
          <w:tcPr>
            <w:tcW w:w="28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rPr>
              <w:t>(3)</w:t>
            </w: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Tenant</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New Orleans, LA</w:t>
            </w:r>
          </w:p>
        </w:tc>
        <w:tc>
          <w:tcPr>
            <w:tcW w:w="28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1/30/2025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1/30/2028</w:t>
            </w:r>
          </w:p>
        </w:tc>
        <w:tc>
          <w:tcPr>
            <w:tcW w:w="200" w:type="dxa"/>
            <w:vAlign w:val="bottom"/>
          </w:tcPr>
          <w:p>
            <w:pPr>
              <w:spacing w:after="0"/>
              <w:rPr>
                <w:sz w:val="7"/>
                <w:szCs w:val="7"/>
                <w:color w:val="auto"/>
              </w:rPr>
            </w:pPr>
          </w:p>
        </w:tc>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44,000,000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11.0%</w:t>
            </w:r>
          </w:p>
        </w:tc>
        <w:tc>
          <w:tcPr>
            <w:tcW w:w="140" w:type="dxa"/>
            <w:vAlign w:val="bottom"/>
          </w:tcPr>
          <w:p>
            <w:pPr>
              <w:spacing w:after="0"/>
              <w:rPr>
                <w:sz w:val="7"/>
                <w:szCs w:val="7"/>
                <w:color w:val="auto"/>
              </w:rPr>
            </w:pPr>
          </w:p>
        </w:tc>
        <w:tc>
          <w:tcPr>
            <w:tcW w:w="10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18,196,973</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auto"/>
                <w:w w:val="95"/>
              </w:rPr>
              <w:t>10.1%</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89"/>
        </w:trPr>
        <w:tc>
          <w:tcPr>
            <w:tcW w:w="9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Park City, UT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6/11/2025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8/1/2027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9,250,000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4,295,478</w:t>
            </w:r>
          </w:p>
        </w:tc>
        <w:tc>
          <w:tcPr>
            <w:tcW w:w="7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11.3%</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9/26/2025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9/25/2028</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35,000,000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23,468,054</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8.4%</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Doral, FL</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10/6/2025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10/6/2027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9,380,000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8,887,586</w:t>
            </w:r>
          </w:p>
        </w:tc>
        <w:tc>
          <w:tcPr>
            <w:tcW w:w="7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10.0%</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0"/>
        </w:trPr>
        <w:tc>
          <w:tcPr>
            <w:tcW w:w="980" w:type="dxa"/>
            <w:vAlign w:val="bottom"/>
          </w:tcPr>
          <w:p>
            <w:pPr>
              <w:spacing w:after="0"/>
              <w:rPr>
                <w:sz w:val="11"/>
                <w:szCs w:val="11"/>
                <w:color w:val="auto"/>
              </w:rPr>
            </w:pPr>
          </w:p>
        </w:tc>
        <w:tc>
          <w:tcPr>
            <w:tcW w:w="10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West Palm Beach,</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Industrial</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10/16/2025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10/16/2027</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16,240,000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1,830,567</w:t>
            </w: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5"/>
              </w:rPr>
              <w:t>10.0%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10/24/2025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10/24/2028</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30,000,000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22,218,757</w:t>
            </w:r>
          </w:p>
        </w:tc>
        <w:tc>
          <w:tcPr>
            <w:tcW w:w="72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5"/>
              </w:rPr>
              <w:t>9.5%</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w w:val="98"/>
              </w:rPr>
              <w:t>Subordinate debt:</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11/15/2024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11/15/2027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13,000,000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11,296,455</w:t>
            </w:r>
          </w:p>
        </w:tc>
        <w:tc>
          <w:tcPr>
            <w:tcW w:w="7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13.3%</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3/21/2025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12/13/2028</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25,113,445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16,536,991</w:t>
            </w: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5"/>
              </w:rPr>
              <w:t>13.5%</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Hospitality</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Diversified</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2/13/2026</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2/13/2029</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48,265,092</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12.2%</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45,293,104</w:t>
            </w:r>
          </w:p>
        </w:tc>
        <w:tc>
          <w:tcPr>
            <w:tcW w:w="720" w:type="dxa"/>
            <w:vAlign w:val="bottom"/>
            <w:tcBorders>
              <w:bottom w:val="single" w:sz="8" w:color="auto"/>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11.3%</w:t>
            </w:r>
          </w:p>
        </w:tc>
        <w:tc>
          <w:tcPr>
            <w:tcW w:w="6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0"/>
              </w:rPr>
              <w:t>Subtotal</w:t>
            </w:r>
            <w:r>
              <w:rPr>
                <w:rFonts w:ascii="Times New Roman" w:cs="Times New Roman" w:eastAsia="Times New Roman" w:hAnsi="Times New Roman"/>
                <w:sz w:val="16"/>
                <w:szCs w:val="16"/>
                <w:b w:val="1"/>
                <w:bCs w:val="1"/>
                <w:color w:val="auto"/>
                <w:w w:val="90"/>
                <w:vertAlign w:val="superscript"/>
              </w:rPr>
              <w:t>(4)</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397,086,697</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100.0%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299,286,738</w:t>
            </w: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10.5%</w:t>
            </w: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0.1%</w:t>
            </w: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0" w:type="dxa"/>
            <w:vAlign w:val="bottom"/>
          </w:tcPr>
          <w:p>
            <w:pPr>
              <w:spacing w:after="0"/>
              <w:rPr>
                <w:sz w:val="1"/>
                <w:szCs w:val="1"/>
                <w:color w:val="auto"/>
              </w:rPr>
            </w:pPr>
          </w:p>
        </w:tc>
      </w:tr>
      <w:tr>
        <w:trPr>
          <w:trHeight w:val="122"/>
        </w:trPr>
        <w:tc>
          <w:tcPr>
            <w:tcW w:w="9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Wtd</w:t>
            </w:r>
          </w:p>
        </w:tc>
        <w:tc>
          <w:tcPr>
            <w:tcW w:w="0" w:type="dxa"/>
            <w:vAlign w:val="bottom"/>
          </w:tcPr>
          <w:p>
            <w:pPr>
              <w:spacing w:after="0"/>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right="40" w:hanging="332"/>
        <w:spacing w:after="0" w:line="28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w:t>
      </w:r>
    </w:p>
    <w:p>
      <w:pPr>
        <w:spacing w:after="0" w:line="16" w:lineRule="exact"/>
        <w:rPr>
          <w:rFonts w:ascii="Times New Roman" w:cs="Times New Roman" w:eastAsia="Times New Roman" w:hAnsi="Times New Roman"/>
          <w:sz w:val="16"/>
          <w:szCs w:val="16"/>
          <w:color w:val="auto"/>
        </w:rPr>
      </w:pPr>
    </w:p>
    <w:p>
      <w:pPr>
        <w:jc w:val="both"/>
        <w:ind w:left="340"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Estimated YTM is calculated using the interest rate as of March 31, 2026 applied through maturity. Actual results could differ from those estimates and assumptions.</w:t>
      </w:r>
    </w:p>
    <w:p>
      <w:pPr>
        <w:spacing w:after="0" w:line="217" w:lineRule="exact"/>
        <w:rPr>
          <w:rFonts w:ascii="Times New Roman" w:cs="Times New Roman" w:eastAsia="Times New Roman" w:hAnsi="Times New Roman"/>
          <w:sz w:val="16"/>
          <w:szCs w:val="16"/>
          <w:color w:val="auto"/>
        </w:rPr>
      </w:pPr>
    </w:p>
    <w:p>
      <w:pPr>
        <w:ind w:left="340" w:right="20" w:hanging="332"/>
        <w:spacing w:after="0" w:line="29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loan is structured as a senior term loan and home construction revolver, of which the proceeds will be used to fund varying development projects. Under each credit facility, the borrower is able to re-draw funds after repayment through maturity.</w:t>
      </w: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holds both the A-note and B-note, the loan is categorized as a senior mortgage loan.</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subtotal rate is a weighted average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at Carrying Value</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our portfolio included 15 and 16 loans held at carrying value, respectively. The aggregate originated commitment under these loans was approximately $397.1 million and $420.7 million, respectively, and outstanding principal was approximately $299.3 million and $305.5 million, respectively, as of March 31, 2026 and 2025. During the three months ended March 31, 2026, we funded approximately $90.2 million of new loans and additional principal on existing loans and had approximately $70.1 million of principal repayments of loans held at carrying value. As of March 31, 2026 and December 31, 2025, approximately 96% and 96%, respectively, of our loans held at carrying value had floating interest rates. As of March 31, 2026, these floating benchmark rates included one-month SOFR quoted at 3.7% and subject to a weighted average floor of 3.9% and U.S. prime rate subject to a weighted average floor of 8.0% and quoted at 6.75% based on outstanding principal.</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loans held at carrying value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226,160,188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224,197,678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73,126,550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72,643,352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299,286,738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(2,445,708)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296,841,030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282,678,920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279,874,922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22,834,265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22,799,821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carrying value and the outstanding principal amount of the loans consists of unaccreted OID and loan origination costs.</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remaining life is calculated based on the carrying value of each respective group of loans as of March 31, 2026 and December 31, 2025.</w:t>
      </w:r>
    </w:p>
    <w:p>
      <w:pPr>
        <w:spacing w:after="0" w:line="59" w:lineRule="exact"/>
        <w:rPr>
          <w:rFonts w:ascii="Times New Roman" w:cs="Times New Roman" w:eastAsia="Times New Roman" w:hAnsi="Times New Roman"/>
          <w:sz w:val="16"/>
          <w:szCs w:val="16"/>
          <w:color w:val="auto"/>
        </w:rPr>
      </w:pPr>
    </w:p>
    <w:p>
      <w:pPr>
        <w:ind w:left="660" w:hanging="328"/>
        <w:spacing w:after="0" w:line="290"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mortgage loans include senior loans that also have a contiguous subordinate loan because as a whole, the expected credit quality of the subordinate loan is more similar to that of a senior loan.</w:t>
      </w: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holds both the A-note and B-note, the loan is categorized as a senior mortgage loan.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loans held at carrying value as of and for the three months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16"/>
                <w:szCs w:val="16"/>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fundings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86,095,064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85,191,929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4,124,684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 and premium, net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1,129,036</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repayments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(70,099,302)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Foreclosure and contribution to real estate joint venture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(26,379,740)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(26,212,907)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PIK interest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March 31, 2026</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299,286,738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(2,445,708)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296,841,030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Overview</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loans are secured by various types of assets of our borrowers, including real property and certain personal property and other assets to the extent permitted by applicable laws and the regulations governing our borrowers.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debt investments will primarily be secured by real estate assets that are expected to be diversified across asset classes, including high quality residential (including multi-family, condominiums and single-family residential communities), retail, office, hospitality, industrial, mixed-use and specialty-use real estate.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Upon default of a loan, we may seek to sell the loan to a third-party or have an affiliate or a third party work with the borrower to have the borrower sell collateral securing the loan to a third party or institute a foreclosure proceeding to have such collateral sold, in each case, to generate funds towards the payoff of the loan. While we believe that the appraised value of any real estate assets or other collateral securing our loans may impact the amount of the recovery in each such scenario, the amount of any such recovery from the sale of such real estate or other collateral may be less than the appraised value of such collateral and the sale of such collateral may not be sufficient to pay off the remaining balance on the defaulted loan. If we do not or cannot sell a foreclosed property, we would then come to own and operate it as “real estate owned” (“REO”). During the three months ended </w:t>
      </w:r>
      <w:r>
        <w:rPr>
          <w:rFonts w:ascii="Times New Roman" w:cs="Times New Roman" w:eastAsia="Times New Roman" w:hAnsi="Times New Roman"/>
          <w:sz w:val="16"/>
          <w:szCs w:val="16"/>
          <w:color w:val="auto"/>
        </w:rPr>
        <w:t>March 31, 2026</w:t>
      </w:r>
      <w:r>
        <w:rPr>
          <w:rFonts w:ascii="Times New Roman" w:cs="Times New Roman" w:eastAsia="Times New Roman" w:hAnsi="Times New Roman"/>
          <w:sz w:val="18"/>
          <w:szCs w:val="18"/>
          <w:color w:val="auto"/>
        </w:rPr>
        <w:t>, the Company acquired one REO asset through foreclosure proceedings and contemporaneously contributed such asset to the Lex Ave JV (see Note 6).</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pursue a sale of a defaulted loan if we believe that a sale would yield higher proceeds or that a sale could be accomplished more quickly than a foreclosure proceeding while yielding proceeds comparable to what would be expected from a foreclosure sale. To the extent that we determine that the proceeds are more likely to be maximized through instituting a foreclosure sale or through taking title to the underlying collateral, we will be subject to the rules and regulations under state law that govern foreclosure sales. However, we can provide no assurances that a third party would buy such loans or that the sales price of such loans would be sufficient to recover the outstanding principal balance, accrued interest, and fees.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shareholders and meet other general business needs. We use significant cash to purchase our target investments, repay principal and interest on our borrowings, make distributions to our shareholders and fund our operations. The sources of financing for our target investments are described below.</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primary sources of cash generally consist of net proceeds of future debt or equity offerings, debt financing, including borrowings under a </w:t>
      </w:r>
      <w:r>
        <w:rPr>
          <w:rFonts w:ascii="Times New Roman" w:cs="Times New Roman" w:eastAsia="Times New Roman" w:hAnsi="Times New Roman"/>
          <w:sz w:val="18"/>
          <w:szCs w:val="18"/>
          <w:color w:val="212529"/>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secured revolving credit facility (the “Revolving Credit Facility”) </w:t>
      </w:r>
      <w:r>
        <w:rPr>
          <w:rFonts w:ascii="Times New Roman" w:cs="Times New Roman" w:eastAsia="Times New Roman" w:hAnsi="Times New Roman"/>
          <w:sz w:val="18"/>
          <w:szCs w:val="18"/>
          <w:color w:val="000000"/>
        </w:rPr>
        <w:t>and an unsecured revolving credit facility (the “SRTF Credit Facility”), the net proceeds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future debt or equity offerings, including in connection with our ATM Program, payments of principal and interest we receive on our portfolio of assets and cash generated from our operating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all of our cash was unrestricted and totaled approximately $5.7 million and $6.4 million, respectively.</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believe that our cash on hand, capacity available under the Revolving Credit Facility, SRTF Credit Facility and cash flows from operations will be sufficient to satisfy the operating requirements of our business through at least the next twelve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constantly explore both the public and private capital markets to raise capital, subject to market and other considerations.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capital markets transactions completed during the three months ended March 31, 2026.</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registration statement on Form S-3 (File No. 333-289188) (the “Shelf Registration Statement”) became effective on August 6, 2025 and allows us to offer and sell, from time to time, up to $500.0 million of our securities, including common stock, preferred stock, debt securities, warrants and rights (including as part of a unit) to purchase shares of our common stock or preferred stock. The specifics of any future offerings, along with the use of proceeds of any securities offered, will be described in detail in a prospectus supplement , or other offering materials, at the time of any offering. We may also access liquidity through our at-the-market offering program (the “ATM Program”), established in August 2025, pursuant to which we may offer and sell, from time to time, up to $50.0 million of our common stock. No shares were sold under the ATM Program during the three months ended March 31, 2026.</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2025, the Company also established a dividend reinvestment plan (the “DRIP”). The DRIP allows shareholders to reinvest all or a portion of their cash dividends in additional shares of the Company’s common stock (which shares, at the Company’s option, are either newly issued directly from the Company or purchased by the plan administrator in the open market). A total of 1,000,000 shares of common stock has been registered for issuance under the DRIP. No shares were issued under the DRIP during the three months ended March 31,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raise future equity capital and issue debt securities in order to fund our future investments in loans.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6, 2024, we entered into the Revolving Credit Facility, which contained an initial aggregate commitment of $50.0 million, which may be borrowed, repaid and redrawn (subject to a borrowing base based on eligible loan obligations held by us and subject to the satisfaction of other conditions provided under the Revolving Credit Agreement). During the year ended December 31, 2025, we entered into a series of amendments to the Revolving Credit Facility that, among other things, increased the aggregate commitment from $50.0 million to $140.0 million. The amount of total commitments under the Revolving Credit Facility may be increased to up to $200.0 million in aggregate, subject to available borrowing base and lenders’ commitment to provide additional commitments.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we entered into Amendment Number Seven to the Revolving Credit Facility (“Amendment Number Seven”), by and among the Company and certain subsidiaries, as borrowers, the lenders party thereto, and East West Bank as administrative agent, which, among other things (i) facilitated the entry of an additional lender; (ii) increased the aggregate commitment by $25.0 million, for a total maximum revolver usage of $165.0 million; and (iii) revised the required consent from certain lenders to advance additional funds under the Revolving Credit Agreement.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amended, the Revolving Credit Facility requires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$88.1 million of outstanding borrowings under the Revolving Credit Facility and $76.9 million availability under our Revolving Credit Facility, which may be borrowed, repaid and redrawn (subject to a borrowing base based on eligible loan obligations held by the Company and subject to the satisfaction of other conditions provided under the Revolving Credit Agreement).</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best of our knowledge, as of March 31, 2026, we were in compliance in all material respects with all covenants contained in our Revolving Credit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SRTF Credit Facility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2024, we entered into the SRTF Credit Facility, which provides for an unsecured revolving credit facility with a $75.0 million commitment, which may be borrowed, repaid and redrawn, subject to a draw fee and the other conditions provided in the SRTF Credit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$51.4 million of outstanding borrowings under the SRTF Credit Facility and $23.6 million availability under our SRTF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Credit Facilities, Warehouse Facilities and Repurchase Agreements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also use other sources of financing to fund the origination or acquisition of our target investments, including other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Service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believe that our cash on hand, capacity available under our Revolving Credit Facility and SRTF Credit Facility, and cash flows from operations will be sufficient to service our outstanding debt during the next twelve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three months ended March 31, 2026 and 2025:</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3"/>
        </w:trPr>
        <w:tc>
          <w:tcPr>
            <w:tcW w:w="6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20" w:type="dxa"/>
            <w:vAlign w:val="bottom"/>
          </w:tcPr>
          <w:p>
            <w:pPr>
              <w:spacing w:after="0"/>
              <w:rPr>
                <w:sz w:val="24"/>
                <w:szCs w:val="24"/>
                <w:color w:val="auto"/>
              </w:rPr>
            </w:pPr>
          </w:p>
        </w:tc>
      </w:tr>
      <w:tr>
        <w:trPr>
          <w:trHeight w:val="245"/>
        </w:trPr>
        <w:tc>
          <w:tcPr>
            <w:tcW w:w="68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bottom w:val="single" w:sz="8" w:color="auto"/>
            </w:tcBorders>
          </w:tcPr>
          <w:p>
            <w:pPr>
              <w:spacing w:after="0"/>
              <w:rPr>
                <w:sz w:val="21"/>
                <w:szCs w:val="21"/>
                <w:color w:val="auto"/>
              </w:rPr>
            </w:pPr>
          </w:p>
        </w:tc>
      </w:tr>
      <w:tr>
        <w:trPr>
          <w:trHeight w:val="250"/>
        </w:trPr>
        <w:tc>
          <w:tcPr>
            <w:tcW w:w="68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1,165,237</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(914,591)</w:t>
            </w: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(15,092,627)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(95,727,807)</w:t>
            </w: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13,140,901</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(86,341,592)</w:t>
            </w:r>
          </w:p>
        </w:tc>
      </w:tr>
      <w:tr>
        <w:trPr>
          <w:trHeight w:val="25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(786,489)</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(182,983,990)</w:t>
            </w:r>
          </w:p>
        </w:tc>
      </w:tr>
      <w:tr>
        <w:trPr>
          <w:trHeight w:val="20"/>
        </w:trPr>
        <w:tc>
          <w:tcPr>
            <w:tcW w:w="6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three months ended March 31, 2026 was approximately $1.2 million, compared to net cash used in operating activities of approximately $(0.9) million for the three months ended March 31, 2025. The increase of approximately $2.1 million period over period was primarily due to an increase in interest income, partially offset by higher management and incentive fees paid.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was approximately $(15.1) million, compared to $(95.7) for the three months ended March 31, 2025. The decrease in net cash used of approximately $80.6 million was primarily due to an increase in principal repayments on loans of approximately $61.1 million and a decrease in issuance and fundings on loans of approximately $19.6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was approximately $13.1 million, compared to net cash used in financing activities of $(86.3) million for the three months ended March 31, 2025. The decrease in cash used in financing activities of approximately $99.5 million was primarily due to an increase of $167.0 million in repayments on the revolving credit facilities, partially offset by a decrease of $(72.6) million from offering proceeds relating to the January 2025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Other Commitments, and 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as of March 31, 2026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4"/>
                <w:szCs w:val="14"/>
                <w:color w:val="auto"/>
              </w:rPr>
            </w:pP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3-5 years</w:t>
            </w:r>
          </w:p>
        </w:tc>
        <w:tc>
          <w:tcPr>
            <w:tcW w:w="220" w:type="dxa"/>
            <w:vAlign w:val="bottom"/>
          </w:tcPr>
          <w:p>
            <w:pPr>
              <w:spacing w:after="0"/>
              <w:rPr>
                <w:sz w:val="14"/>
                <w:szCs w:val="14"/>
                <w:color w:val="auto"/>
              </w:rPr>
            </w:pPr>
          </w:p>
        </w:tc>
        <w:tc>
          <w:tcPr>
            <w:tcW w:w="13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320" w:type="dxa"/>
            <w:vAlign w:val="bottom"/>
          </w:tcPr>
          <w:p>
            <w:pPr>
              <w:spacing w:after="0"/>
              <w:rPr>
                <w:sz w:val="14"/>
                <w:szCs w:val="14"/>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3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commitments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13,327,326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84,578,043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97,905,369</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13,327,326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84,578,043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97,905,369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all unfunded commitments were related to our total loan commitments and were available for funding in less than three years.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enter into certain contracts that may contain a variety of indemnification obligations. The maximum potential future payment amounts we could be required to pay under these indemnification obligations may be unlimited.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Off-balance sheet commitments consist of unfunded commitments on delayed draw loans. Other than as set forth in this Quarterly Report, we do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we have not guaranteed any obligations of unconsolidated entities or entered into any commitment to provide, nor do we intend to provide, additional funding to any such entities.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elected to be taxed as a REIT for U.S. federal income tax purposes, commencing with the taxable year ending December 31, 2024, and, as such, intend to annually distribute to our shareholders at least 90% of our REIT taxable income, prior to the deduction for dividends paid and excluding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undistributed shortfall from our prior calendar year (the “Required Distribution”) to our shareholders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shareholders. The 90% distribution requirement does not require the distribution of net capital gains. However, if we elect to retain any of our net capital gain for any tax year, we must notify our shareholders and pay tax at regular corporate rates on the retained net capital gain. The shareholders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will accrue excise tax on a portion of the estimated excess taxable income as such taxable income is earned.</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from what was previously disclosed in our Annual Report on Form 10-K. Many of these accounting policies require judgment and the use of estimates and assumptions when they are applied in the preparation of our financial statements. On a quarterly basis, we evaluate these estimates and judgments based on historical experience as well as other factors that we believe to be reasonable under the circumstances. These estimates are subject to change in the future if underlying assumptions or factors change. Certain accounting policies, while significant, may not require the use of estimates.</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for our investment mix to include high quality residential, including multi-family, condominiums and single-family residential communities, retail, office, hospitality, industrial, mixed-use and specialty-use real estate. We believe that our Manager’s rigorous investment process on our behalf will enable us to make investments with potential for value creation as we seek to provide capital to strong sponsors with readily executable business plans while endeavoring to implement significant downside protections.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allocation of capital among our target assets will depend on prevailing market conditions at the time we invest, among other considerations, and may change over time in response to changes in market conditions, including with respect to interest rates and general economic and credit market conditions as well as local economic conditions in markets where we are active.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of Our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hold our target investments as long-term loans; however, we may occasionally classify some of our loans as held for sale. We may carry our loans at fair value or carrying value in our balance sheets. As of March 31, 2026 and December 31, 2025, none of our loans held for investment were carried at fair value.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our loans on a quarterly basis and fair value is determined by our Board of Directors through its independent Audit and Valuation Committee. We use an independent third-party valuation firm to provide input in the valuation of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unquoted investments, which we consider along with other various subjective and objective factors in making our evaluations.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loans are typically valued using a yield analysis, which is typically performed for non-credit impaired loans to borrowers. Alternative valuation methodologies may be used as appropriate, and can include a market analysis, income analysis, or recovery analysis. To determine fair value using a yield analysis, a current price is imputed for the loan based 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recovery rates, and revenue multiples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loans that do not have a readily available market value, the fair value of our loans may fluctuate from period to period. Additionally, the fair value of our loans may differ significantly from the values that would have been used had a ready market existed for such loans and may differ materially from the values that we may ultimately realize. Further, such loans are generally subject to legal and other restrictions on resale or otherwise are less liquid than publicly traded securities. If we were required to liquidate our investment in a loan in a forced or liquidation sale, we could realize significantly less than the value at which we had recorded such loan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Market Interest Rates and Effect on 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non-credit impaired loans to borrowers. Alternative valuation methodologies may be used as appropriate, and can include a market analysis, income analysis, or recovery analysis. Changes in market yields, revenue multiples, and recovery rates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 As of March 31, 2026, we had 15 floating-rate loans, representing approximately 96% of our portfolio based on aggregate outstanding principal balances. These floating benchmark rates included one-month SOFR quoted at 3.7% and subject to a weighted average floor of 3.9%, and U.S. prime rate quoted at 6.75% and subject to a weighted average floor of 8.0% based on outstanding principal. We estimate that a hypothetical 100 basis points increase in the floating benchmark rate would result in an increase in annual interest income of approximately $2.9 million and a hypothetical 100 basis points decrease in the floating benchmark rate would result in a decrease in annual interest income of approximately $0.7 million due to the effects of the benchmark floor.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Cap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originate both fixed and floating rate loans. These are assets in which the loans may be subject to periodic and lifetime interest rate caps and floors, which limit the amount by which the asset’s interest yield may change during any given period. However, our future borrowing costs pursuant to our potential financing agreements may not be subject to similar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 These factors could lower our net interest income or cause a net loss during periods of rising interest rates, which would harm our financial condition, cash flows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Mismatch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various benchmarks, while the interest rates on these assets may be fixed or indexed to SOFR, U.S. prime rate, or another index rate. Accordingly, any increase in an index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shareholders.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be subject to varying degrees of credit risk in connection with holding our portfolio of loans. We will have exposure to credit risk on our commercial real estate loans and other targeted types of loans. Our Manager will seek to manage credit risk by performing deep credit fundamental analysis of potential assets and through the use of non-recourse financing, when and where available and appropriate.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will also be addressed through our Manager’s ongoing review, and loans will be monitored for variance from expected prepayments, defaults, severities, losses and cash flow on a quarterly basis.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 portfolio as of March 31, 2026 was concentrated with the top three borrowers representing approximately 43.8% of the aggregate outstanding principal balances and approximately 35.3% of the total loan commitments. We made our first investment in January 2024 and expect to continue to diversify our loan portfolio as loans in our pipeline are evaluated and are originated through the deployment of our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our “disclosure controls and procedures” (as defined in Rule 13a-15(e) and 15(d)-15(e)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the SEC rules and forms and (b) include, without limitation,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objectives. Because of these and other inherent limitations of control systems, even effective disclosure controls and procedures can only provide reasonable assurance of achieving their control objectives.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46" w:lineRule="exact"/>
        <w:rPr>
          <w:sz w:val="20"/>
          <w:szCs w:val="20"/>
          <w:color w:val="auto"/>
        </w:rPr>
      </w:pPr>
    </w:p>
    <w:p>
      <w:pPr>
        <w:jc w:val="both"/>
        <w:ind w:right="220"/>
        <w:spacing w:after="0" w:line="245" w:lineRule="exact"/>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during the quarter ended March 31, 2026 that have materially affected, or are reasonably likely to materially affect, our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Furthermore, third parties may try to seek to impose liability on us in connection with our loans. As of March 31, 2026, we were not subject to any material pending legal proceedings to which we are a party or any of our assets are subject.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 “Risk Factors” in the Company’s Annual Report for the fiscal year ended December 31, 2025.</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did not repurchase any shares of our common stock.</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740" w:type="dxa"/>
            <w:vAlign w:val="bottom"/>
          </w:tcPr>
          <w:p>
            <w:pPr>
              <w:spacing w:after="0"/>
              <w:rPr>
                <w:sz w:val="20"/>
                <w:szCs w:val="20"/>
                <w:color w:val="auto"/>
              </w:rPr>
            </w:pPr>
          </w:p>
        </w:tc>
      </w:tr>
      <w:tr>
        <w:trPr>
          <w:trHeight w:val="452"/>
        </w:trPr>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3"/>
        </w:trPr>
        <w:tc>
          <w:tcPr>
            <w:tcW w:w="34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7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Articles of Amendment and Restatement of Sunrise Realty Trust, Inc. (filed as Exhibit 3.1 to the Company’s Current Report on Form</w:t>
            </w: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9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8-K on July 3, 2024 and incorporated herein by reference).</w:t>
            </w: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w w:val="99"/>
              </w:rPr>
              <w:t>Amended and Restated Bylaws of Sunrise Realty Trust, Inc. (filed as Exhibit 3.2 to Amendment No. 2 to the Company’s Registration</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 on Form 10-12B on May 20, 2024 and incorporated herein by reference).</w:t>
            </w: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3"/>
        </w:trPr>
        <w:tc>
          <w:tcPr>
            <w:tcW w:w="44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7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Equity Distribution Agreement, dated August 13, 2025, by and among the Company, the Manager and Raymond James &amp;</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974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Associates, Inc. (filed as Exhibit 1.1 to the Company’s Current Report on Form 8-K on August 13, 2025 and incorporated herein by</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reference).</w:t>
            </w:r>
          </w:p>
        </w:tc>
      </w:tr>
      <w:tr>
        <w:trPr>
          <w:trHeight w:val="203"/>
        </w:trPr>
        <w:tc>
          <w:tcPr>
            <w:tcW w:w="520" w:type="dxa"/>
            <w:vAlign w:val="bottom"/>
            <w:gridSpan w:val="5"/>
          </w:tcPr>
          <w:p>
            <w:pPr>
              <w:ind w:left="20"/>
              <w:spacing w:after="0" w:line="20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980" w:type="dxa"/>
            <w:vAlign w:val="bottom"/>
          </w:tcPr>
          <w:p>
            <w:pPr>
              <w:spacing w:after="0"/>
              <w:rPr>
                <w:sz w:val="17"/>
                <w:szCs w:val="17"/>
                <w:color w:val="auto"/>
              </w:rPr>
            </w:pPr>
          </w:p>
        </w:tc>
        <w:tc>
          <w:tcPr>
            <w:tcW w:w="9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Amendment Number Seven to Loan and Security Agreement, dated as of February 27, 2026, among Sunrise Realty Trust, Inc. and</w:t>
            </w:r>
          </w:p>
        </w:tc>
      </w:tr>
      <w:tr>
        <w:trPr>
          <w:trHeight w:val="178"/>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7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Sunrise Realty Trust Holdings I LLC, as borrowers, East West Bank, as administrative agent, sole book runner, co-syndication agent</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and co-documentation agent, East West Bank, City National Bank of Florida, EverBank, N.A. and Customers Bank, as joint lead</w:t>
            </w: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arrangers, and the lenders party thereto (filed as Exhibit 10.9G to the Company’s Current Report on Form 8-K on March 5, 2026 and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0000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03"/>
        </w:trPr>
        <w:tc>
          <w:tcPr>
            <w:tcW w:w="5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0" w:type="dxa"/>
            <w:vAlign w:val="bottom"/>
          </w:tcPr>
          <w:p>
            <w:pPr>
              <w:spacing w:after="0"/>
              <w:rPr>
                <w:sz w:val="17"/>
                <w:szCs w:val="17"/>
                <w:color w:val="auto"/>
              </w:rPr>
            </w:pPr>
          </w:p>
        </w:tc>
        <w:tc>
          <w:tcPr>
            <w:tcW w:w="9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34"/>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4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974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4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34"/>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198"/>
        </w:trPr>
        <w:tc>
          <w:tcPr>
            <w:tcW w:w="20" w:type="dxa"/>
            <w:vAlign w:val="bottom"/>
            <w:shd w:val="clear" w:color="auto" w:fill="CCEEFF"/>
          </w:tcPr>
          <w:p>
            <w:pPr>
              <w:spacing w:after="0"/>
              <w:rPr>
                <w:sz w:val="17"/>
                <w:szCs w:val="17"/>
                <w:color w:val="auto"/>
              </w:rPr>
            </w:pPr>
          </w:p>
        </w:tc>
        <w:tc>
          <w:tcPr>
            <w:tcW w:w="14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0"/>
        </w:trPr>
        <w:tc>
          <w:tcPr>
            <w:tcW w:w="20" w:type="dxa"/>
            <w:vAlign w:val="bottom"/>
          </w:tcPr>
          <w:p>
            <w:pPr>
              <w:spacing w:after="0"/>
              <w:rPr>
                <w:sz w:val="21"/>
                <w:szCs w:val="21"/>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3"/>
        </w:trPr>
        <w:tc>
          <w:tcPr>
            <w:tcW w:w="20" w:type="dxa"/>
            <w:vAlign w:val="bottom"/>
            <w:shd w:val="clear" w:color="auto" w:fill="CCEEFF"/>
          </w:tcPr>
          <w:p>
            <w:pPr>
              <w:spacing w:after="0"/>
              <w:rPr>
                <w:sz w:val="22"/>
                <w:szCs w:val="22"/>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0"/>
        </w:trPr>
        <w:tc>
          <w:tcPr>
            <w:tcW w:w="20" w:type="dxa"/>
            <w:vAlign w:val="bottom"/>
          </w:tcPr>
          <w:p>
            <w:pPr>
              <w:spacing w:after="0"/>
              <w:rPr>
                <w:sz w:val="21"/>
                <w:szCs w:val="21"/>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3"/>
        </w:trPr>
        <w:tc>
          <w:tcPr>
            <w:tcW w:w="20" w:type="dxa"/>
            <w:vAlign w:val="bottom"/>
            <w:shd w:val="clear" w:color="auto" w:fill="CCEEFF"/>
          </w:tcPr>
          <w:p>
            <w:pPr>
              <w:spacing w:after="0"/>
              <w:rPr>
                <w:sz w:val="22"/>
                <w:szCs w:val="22"/>
                <w:color w:val="auto"/>
              </w:rPr>
            </w:pP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20" w:type="dxa"/>
            <w:vAlign w:val="bottom"/>
          </w:tcPr>
          <w:p>
            <w:pPr>
              <w:spacing w:after="0"/>
              <w:rPr>
                <w:sz w:val="21"/>
                <w:szCs w:val="21"/>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ind w:left="1600" w:hanging="1574"/>
        <w:spacing w:after="0"/>
        <w:tabs>
          <w:tab w:leader="none" w:pos="1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4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24"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290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Brian Sedrish</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29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29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Sedrish, certify that:</w:t>
      </w:r>
    </w:p>
    <w:p>
      <w:pPr>
        <w:spacing w:after="0" w:line="18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Sunrise Realty Trust,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320"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Brian Sedrish</w:t>
      </w:r>
    </w:p>
    <w:p>
      <w:pPr>
        <w:spacing w:after="0" w:line="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Brandon Hetzel, certify that:</w:t>
      </w:r>
    </w:p>
    <w:p>
      <w:pPr>
        <w:spacing w:after="0" w:line="18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Sunrise Realty Trust,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320"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Sunrise Realty Trust, Inc. (the “Company”) for the period ending March 31, 2026, as filed with the Securities and Exchange Commission on the date hereof (the “Report”), the undersigned, Brian Sedrish, Chief Executive Officer of the Company, hereby certifies, pursuant to 18 U.S.C. Section 1350, as adopted pursuant to Section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20" w:right="140" w:firstLine="312"/>
        <w:spacing w:after="0" w:line="548" w:lineRule="auto"/>
        <w:tabs>
          <w:tab w:leader="none" w:pos="6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14, 2026</w:t>
      </w:r>
    </w:p>
    <w:p>
      <w:pPr>
        <w:spacing w:after="0" w:line="27"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1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Brian Sedrish</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5" w:lineRule="exact"/>
        <w:rPr>
          <w:sz w:val="20"/>
          <w:szCs w:val="20"/>
          <w:color w:val="auto"/>
        </w:rPr>
      </w:pPr>
    </w:p>
    <w:p>
      <w:pPr>
        <w:ind w:left="340" w:right="40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Sunrise Realty Trust, Inc. and will be retained by Sunrise Realty Trust, Inc.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Sunrise Realty Trust, Inc. (the “Company”) for the period ending March 31, 2026, as filed with the Securities and Exchange Commission on the date hereof (the “Report”), the undersigned, Brandon Hetzel, Chief Financial Officer of the Company, hereby certifies, pursuant to 18 U.S.C. Section 1350, as adopted pursuant to Section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20" w:right="140" w:firstLine="312"/>
        <w:spacing w:after="0" w:line="548" w:lineRule="auto"/>
        <w:tabs>
          <w:tab w:leader="none" w:pos="6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14, 2026</w:t>
      </w:r>
    </w:p>
    <w:p>
      <w:pPr>
        <w:spacing w:after="0" w:line="27"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95" w:lineRule="exact"/>
        <w:rPr>
          <w:sz w:val="20"/>
          <w:szCs w:val="20"/>
          <w:color w:val="auto"/>
        </w:rPr>
      </w:pPr>
    </w:p>
    <w:p>
      <w:pPr>
        <w:ind w:left="340" w:right="400" w:hanging="332"/>
        <w:spacing w:after="0" w:line="282"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Sunrise Realty Trust, Inc. and will be retained by Sunrise Realty Trust, Inc.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1"/>
    </w:lvl>
  </w:abstractNum>
  <w:abstractNum w:abstractNumId="7">
    <w:nsid w:val="7FDCC233"/>
    <w:multiLevelType w:val="hybridMultilevel"/>
    <w:lvl w:ilvl="0">
      <w:lvlJc w:val="left"/>
      <w:lvlText w:val="%1."/>
      <w:numFmt w:val="decimal"/>
      <w:start w:val="13"/>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upperLetter"/>
      <w:start w:val="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lvl w:ilvl="1">
      <w:lvlJc w:val="left"/>
      <w:lvlText w:val="%2"/>
      <w:numFmt w:val="decimal"/>
      <w:start w:val="104"/>
    </w:lvl>
  </w:abstractNum>
  <w:abstractNum w:abstractNumId="14">
    <w:nsid w:val="431BD7B7"/>
    <w:multiLevelType w:val="hybridMultilevel"/>
    <w:lvl w:ilvl="0">
      <w:lvlJc w:val="left"/>
      <w:lvlText w:val="**"/>
      <w:numFmt w:val="bullet"/>
      <w:start w:val="1"/>
    </w:lvl>
    <w:lvl w:ilvl="1">
      <w:lvlJc w:val="left"/>
      <w:lvlText w:val="%2"/>
      <w:numFmt w:val="decimal"/>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57" Type="http://schemas.openxmlformats.org/officeDocument/2006/relationships/hyperlink" Target="https://www.sec.gov/Archives/edgar/data/2012706/000162828024031185/exhibit31-suns8xk.htm" TargetMode="External"/><Relationship Id="rId58" Type="http://schemas.openxmlformats.org/officeDocument/2006/relationships/hyperlink" Target="https://www.sec.gov/Archives/edgar/data/2012706/000162828024024376/exhibit32-form10a2.htm" TargetMode="External"/><Relationship Id="rId59" Type="http://schemas.openxmlformats.org/officeDocument/2006/relationships/hyperlink" Target="https://www.sec.gov/Archives/edgar/data/2012706/000182912625006195/sunriserealty_ex1-1.htm" TargetMode="External"/><Relationship Id="rId60" Type="http://schemas.openxmlformats.org/officeDocument/2006/relationships/hyperlink" Target="https://www.sec.gov/Archives/edgar/data/2012706/000182912626001969/sunriserealty_ex10-9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2026-05-14T06:34:43Z</dcterms:created>
  <dcterms:modified xsi:type="dcterms:W3CDTF">2026-05-14T06:34:43Z</dcterms:modified>
</cp:coreProperties>
</file>