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479330.xml.htm"/>
      <w:bookmarkStart w:id="1" w:name="kswkform4_17864793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TANNENBAUM LEONARD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OKEECHOBEE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1650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PALM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Sunrise Realty Trust, Inc.</w:t>
              </w:r>
            </w:hyperlink>
            <w:r>
              <w:rPr/>
              <w:t xml:space="preserve"> [ </w:t>
            </w:r>
            <w:r>
              <w:rPr>
                <w:rFonts w:ascii="Times;serif" w:hAnsi="Times;serif"/>
                <w:color w:val="0000FF"/>
                <w:sz w:val="24"/>
                <w:shd w:fill="FFFFFF" w:val="clear"/>
              </w:rPr>
              <w:t>SUNS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Chairman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5"/>
        <w:gridCol w:w="904"/>
        <w:gridCol w:w="774"/>
        <w:gridCol w:w="600"/>
        <w:gridCol w:w="343"/>
        <w:gridCol w:w="917"/>
        <w:gridCol w:w="439"/>
        <w:gridCol w:w="702"/>
        <w:gridCol w:w="1260"/>
        <w:gridCol w:w="979"/>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23,109</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7.73</w:t>
            </w:r>
            <w:r>
              <w:rPr>
                <w:rFonts w:ascii="Times;serif" w:hAnsi="Times;serif"/>
                <w:color w:val="008000"/>
                <w:position w:val="7"/>
                <w:sz w:val="16"/>
                <w:sz w:val="20"/>
                <w:shd w:fill="FFFFFF" w:val="clear"/>
              </w:rPr>
              <w:t>(1)</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3,047,719</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7.79</w:t>
            </w:r>
            <w:r>
              <w:rPr>
                <w:rFonts w:ascii="Times;serif" w:hAnsi="Times;serif"/>
                <w:color w:val="008000"/>
                <w:position w:val="7"/>
                <w:sz w:val="16"/>
                <w:sz w:val="20"/>
                <w:shd w:fill="FFFFFF" w:val="clear"/>
              </w:rPr>
              <w:t>(2)</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3,072,719</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585,681</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reporting person as UTMA custodian for son</w:t>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58,958</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2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46,516</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Held by spouse</w:t>
            </w:r>
            <w:r>
              <w:rPr>
                <w:rFonts w:ascii="Times;serif" w:hAnsi="Times;serif"/>
                <w:color w:val="008000"/>
                <w:position w:val="7"/>
                <w:sz w:val="16"/>
                <w:sz w:val="20"/>
                <w:shd w:fill="FFFFFF" w:val="clear"/>
              </w:rPr>
              <w:t>(6)</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transaction was executed in multiple trades ranging from $7.66 to $7.77;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transaction was executed in multiple trades ranging from $7.76 to $7.80; the price reported reflects the weighted average price. The Reporting Person hereby undertakes to provide full information regarding the number of shares and prices at which the transactions were effected upon request to the SEC staff, the issuer, or any security holder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are held by the Tannenbaum Family Foundation (formerly known as the Leonard M. Tannenbaum Foundation), for which the Reporting Person serves as the President. The Reporting Person disclaims beneficial ownership of the reported securities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are held by the Sunny 5 Irrevocable Trust for benefit of certain members of the Reporting Person's family, for which Jeffrey Boccuzzi is a Co-Trustee. The Reporting Person disclaims beneficial ownership of the reported securities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shares are held by the Tannenbaum Family 2012 Trust for benefit of certain members of the Reporting Person's family, for which Gabriel Katz is a Co-Trustee. The Reporting Person disclaims beneficial ownership of the reported securities except to the extent of his pecuniary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Reporting Person disclaims beneficial ownership of these securities, and this report shall not be deemed an admission that the Reporting Person is the beneficial owner of the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Brandon Hetzel,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00461" TargetMode="External"/><Relationship Id="rId5" Type="http://schemas.openxmlformats.org/officeDocument/2006/relationships/hyperlink" Target="http://www.sec.gov/cgi-bin/browse-edgar?action=getcompany&amp;CIK=000201270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907</Words>
  <Characters>4913</Characters>
  <CharactersWithSpaces>5718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